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39" w:rsidRDefault="00237463">
      <w:pPr>
        <w:spacing w:before="65"/>
        <w:ind w:left="2427"/>
        <w:rPr>
          <w:sz w:val="28"/>
        </w:rPr>
      </w:pPr>
      <w:r>
        <w:rPr>
          <w:sz w:val="28"/>
        </w:rPr>
        <w:t>RECRUITMENT EXPENSE GUIDELINES</w:t>
      </w:r>
    </w:p>
    <w:p w:rsidR="00F71139" w:rsidRDefault="00237463" w:rsidP="007954D0">
      <w:pPr>
        <w:pStyle w:val="BodyText"/>
        <w:spacing w:line="240" w:lineRule="auto"/>
        <w:ind w:left="3600" w:right="3692" w:firstLine="0"/>
        <w:jc w:val="center"/>
      </w:pPr>
      <w:r>
        <w:t xml:space="preserve">Revised:  </w:t>
      </w:r>
      <w:r w:rsidR="007954D0">
        <w:t>December 5, 2018</w:t>
      </w:r>
    </w:p>
    <w:p w:rsidR="00F71139" w:rsidRDefault="00F71139">
      <w:pPr>
        <w:pStyle w:val="BodyText"/>
        <w:spacing w:line="240" w:lineRule="auto"/>
        <w:ind w:left="0" w:firstLine="0"/>
      </w:pPr>
    </w:p>
    <w:p w:rsidR="00F71139" w:rsidRDefault="00237463">
      <w:pPr>
        <w:pStyle w:val="BodyText"/>
        <w:ind w:left="116" w:firstLine="0"/>
      </w:pPr>
      <w:r>
        <w:t>The recruiting process is expensive, and costs for hiring a single faculty member have ranged from less than</w:t>
      </w:r>
    </w:p>
    <w:p w:rsidR="00F71139" w:rsidRDefault="00237463">
      <w:pPr>
        <w:pStyle w:val="BodyText"/>
        <w:spacing w:line="240" w:lineRule="auto"/>
        <w:ind w:left="116" w:firstLine="0"/>
      </w:pPr>
      <w:r>
        <w:t>$1,000 to over $6,000. The following guidelines will be used to keep recruiting costs under control while yet providing a quality experience for the candidate and a useful on-campus interview for NMU.</w:t>
      </w:r>
    </w:p>
    <w:p w:rsidR="00F71139" w:rsidRDefault="00F71139">
      <w:pPr>
        <w:pStyle w:val="BodyText"/>
        <w:spacing w:before="1" w:line="240" w:lineRule="auto"/>
        <w:ind w:left="0" w:firstLine="0"/>
      </w:pPr>
      <w:bookmarkStart w:id="0" w:name="_GoBack"/>
      <w:bookmarkEnd w:id="0"/>
    </w:p>
    <w:p w:rsidR="00F71139" w:rsidRDefault="00237463">
      <w:pPr>
        <w:pStyle w:val="ListParagraph"/>
        <w:numPr>
          <w:ilvl w:val="0"/>
          <w:numId w:val="2"/>
        </w:numPr>
        <w:tabs>
          <w:tab w:val="left" w:pos="476"/>
        </w:tabs>
        <w:spacing w:before="1" w:line="253" w:lineRule="exact"/>
        <w:ind w:hanging="720"/>
        <w:jc w:val="left"/>
      </w:pPr>
      <w:r>
        <w:t>Advertising</w:t>
      </w:r>
      <w:r>
        <w:rPr>
          <w:spacing w:val="-3"/>
        </w:rPr>
        <w:t xml:space="preserve"> </w:t>
      </w:r>
      <w:r>
        <w:t>expenses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line="240" w:lineRule="auto"/>
        <w:ind w:left="1916" w:right="264" w:hanging="720"/>
      </w:pPr>
      <w:r>
        <w:t xml:space="preserve">Advertising sources (see below) </w:t>
      </w:r>
      <w:r w:rsidR="00CB4CAF">
        <w:t>E</w:t>
      </w:r>
      <w:r>
        <w:t xml:space="preserve">ach position </w:t>
      </w:r>
      <w:r>
        <w:rPr>
          <w:u w:val="single"/>
        </w:rPr>
        <w:t>must be posted</w:t>
      </w:r>
      <w:r>
        <w:t xml:space="preserve"> in the Chronicle of Higher</w:t>
      </w:r>
      <w:r>
        <w:rPr>
          <w:spacing w:val="-4"/>
        </w:rPr>
        <w:t xml:space="preserve"> </w:t>
      </w:r>
      <w:r w:rsidR="00CB4CAF">
        <w:t>Ed. Either one time in print or a minimum 30 days online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line="240" w:lineRule="auto"/>
        <w:ind w:right="901" w:hanging="298"/>
        <w:jc w:val="left"/>
      </w:pPr>
      <w:r>
        <w:t>Chronicle of Higher Ed.</w:t>
      </w:r>
      <w:r>
        <w:t xml:space="preserve"> – posted by department using template provided by Academic</w:t>
      </w:r>
      <w:r>
        <w:rPr>
          <w:spacing w:val="-4"/>
        </w:rPr>
        <w:t xml:space="preserve"> </w:t>
      </w:r>
      <w:r>
        <w:t>Affairs</w:t>
      </w:r>
      <w:r w:rsidR="00CB4CAF">
        <w:t xml:space="preserve"> for print ads. Chronicle scrapes our People Admin site nightly for online posting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358"/>
        <w:jc w:val="left"/>
      </w:pPr>
      <w:proofErr w:type="spellStart"/>
      <w:r>
        <w:t>HigherEd</w:t>
      </w:r>
      <w:proofErr w:type="spellEnd"/>
      <w:r>
        <w:t xml:space="preserve"> Jobs.com (no cost) – </w:t>
      </w:r>
      <w:proofErr w:type="spellStart"/>
      <w:r w:rsidR="00CB4CAF">
        <w:t>HigherEd</w:t>
      </w:r>
      <w:proofErr w:type="spellEnd"/>
      <w:r w:rsidR="00CB4CAF">
        <w:t xml:space="preserve"> Jobs scrapes our People Admin site nightly for online positing</w:t>
      </w:r>
    </w:p>
    <w:p w:rsidR="00CB4CAF" w:rsidRDefault="00237463" w:rsidP="00CB4CAF">
      <w:pPr>
        <w:pStyle w:val="ListParagraph"/>
        <w:numPr>
          <w:ilvl w:val="2"/>
          <w:numId w:val="2"/>
        </w:numPr>
        <w:tabs>
          <w:tab w:val="left" w:pos="2008"/>
        </w:tabs>
        <w:ind w:hanging="358"/>
        <w:jc w:val="left"/>
      </w:pPr>
      <w:proofErr w:type="spellStart"/>
      <w:r>
        <w:t>HigherEd</w:t>
      </w:r>
      <w:proofErr w:type="spellEnd"/>
      <w:r>
        <w:t xml:space="preserve"> Jobs.com affirmative action email list (no cost) – </w:t>
      </w:r>
      <w:proofErr w:type="spellStart"/>
      <w:r w:rsidR="00CB4CAF">
        <w:t>HigherEd</w:t>
      </w:r>
      <w:proofErr w:type="spellEnd"/>
      <w:r w:rsidR="00CB4CAF">
        <w:t xml:space="preserve"> Jobs scrapes our People Admin site nightly for online positing</w:t>
      </w:r>
    </w:p>
    <w:p w:rsidR="00F71139" w:rsidRDefault="00237463" w:rsidP="00C14AA7">
      <w:pPr>
        <w:pStyle w:val="ListParagraph"/>
        <w:numPr>
          <w:ilvl w:val="2"/>
          <w:numId w:val="2"/>
        </w:numPr>
        <w:tabs>
          <w:tab w:val="left" w:pos="2008"/>
        </w:tabs>
        <w:ind w:hanging="409"/>
        <w:jc w:val="left"/>
      </w:pPr>
      <w:proofErr w:type="spellStart"/>
      <w:r>
        <w:t>Linkedin</w:t>
      </w:r>
      <w:proofErr w:type="spellEnd"/>
      <w:r>
        <w:t xml:space="preserve"> (no cost) – posted by Alumni Office automatically. No need to contact</w:t>
      </w:r>
      <w:r w:rsidRPr="00CB4CAF">
        <w:rPr>
          <w:spacing w:val="-26"/>
        </w:rPr>
        <w:t xml:space="preserve"> </w:t>
      </w:r>
      <w:r>
        <w:t>them.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before="2"/>
        <w:ind w:hanging="346"/>
        <w:jc w:val="left"/>
      </w:pPr>
      <w:r>
        <w:t>NMU Alumni E-Newsletter – posted by Alumni</w:t>
      </w:r>
      <w:r>
        <w:rPr>
          <w:spacing w:val="-6"/>
        </w:rPr>
        <w:t xml:space="preserve"> </w:t>
      </w:r>
      <w:r>
        <w:t>Office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409"/>
        <w:jc w:val="left"/>
      </w:pPr>
      <w:r>
        <w:t>Michigan Talent Bank (no cost) – post</w:t>
      </w:r>
      <w:r>
        <w:t>ed by Academic</w:t>
      </w:r>
      <w:r>
        <w:rPr>
          <w:spacing w:val="-14"/>
        </w:rPr>
        <w:t xml:space="preserve"> </w:t>
      </w:r>
      <w:r>
        <w:t>Affairs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before="1" w:line="240" w:lineRule="auto"/>
        <w:ind w:right="132" w:hanging="468"/>
        <w:jc w:val="left"/>
      </w:pPr>
      <w:r>
        <w:t>Additional advertising sources identified by the department and Process Guide – placed by</w:t>
      </w:r>
      <w:r>
        <w:rPr>
          <w:spacing w:val="-3"/>
        </w:rPr>
        <w:t xml:space="preserve"> </w:t>
      </w:r>
      <w:r>
        <w:t>department</w:t>
      </w:r>
    </w:p>
    <w:p w:rsidR="00F71139" w:rsidRDefault="00237463">
      <w:pPr>
        <w:pStyle w:val="ListParagraph"/>
        <w:numPr>
          <w:ilvl w:val="0"/>
          <w:numId w:val="2"/>
        </w:numPr>
        <w:tabs>
          <w:tab w:val="left" w:pos="476"/>
        </w:tabs>
        <w:spacing w:before="200" w:line="274" w:lineRule="exact"/>
        <w:ind w:left="476"/>
        <w:jc w:val="left"/>
        <w:rPr>
          <w:sz w:val="24"/>
        </w:rPr>
      </w:pPr>
      <w:r>
        <w:t>The candidate’s expenses while</w:t>
      </w:r>
      <w:r>
        <w:rPr>
          <w:spacing w:val="-9"/>
        </w:rPr>
        <w:t xml:space="preserve"> </w:t>
      </w:r>
      <w:r>
        <w:t>traveling: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</w:tabs>
        <w:spacing w:line="237" w:lineRule="auto"/>
        <w:ind w:right="332" w:hanging="360"/>
        <w:rPr>
          <w:sz w:val="24"/>
        </w:rPr>
      </w:pPr>
      <w:r>
        <w:t xml:space="preserve">Candidates for positions </w:t>
      </w:r>
      <w:proofErr w:type="gramStart"/>
      <w:r>
        <w:t>will be allowed</w:t>
      </w:r>
      <w:proofErr w:type="gramEnd"/>
      <w:r>
        <w:t xml:space="preserve"> travel expenses (food, taxi, lodging, etc.) at th</w:t>
      </w:r>
      <w:r>
        <w:t>e rates established by the Board of Trustees for all university employees and specified in the university travel</w:t>
      </w:r>
      <w:r>
        <w:rPr>
          <w:spacing w:val="-3"/>
        </w:rPr>
        <w:t xml:space="preserve"> </w:t>
      </w:r>
      <w:r>
        <w:t>guidelines.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</w:tabs>
        <w:spacing w:before="4" w:line="237" w:lineRule="auto"/>
        <w:ind w:right="718" w:hanging="360"/>
        <w:rPr>
          <w:sz w:val="24"/>
        </w:rPr>
      </w:pPr>
      <w:r>
        <w:t>The candidate must document travel expenses as specified in the university guidelines (department heads or search chairs should not</w:t>
      </w:r>
      <w:r>
        <w:t>ify the candidate of what receipts are necessary).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</w:tabs>
        <w:spacing w:before="3" w:line="237" w:lineRule="auto"/>
        <w:ind w:right="221" w:hanging="360"/>
        <w:rPr>
          <w:sz w:val="24"/>
        </w:rPr>
      </w:pPr>
      <w:r>
        <w:t xml:space="preserve">When air travel is used, arrival and departure times </w:t>
      </w:r>
      <w:proofErr w:type="gramStart"/>
      <w:r>
        <w:t>should be considered</w:t>
      </w:r>
      <w:proofErr w:type="gramEnd"/>
      <w:r>
        <w:t xml:space="preserve"> to secure the best rates possible (no first class tickets). Candidates should secure their own airline ticket. Should departments w</w:t>
      </w:r>
      <w:r>
        <w:t xml:space="preserve">ish to purchase the ticket on behalf of the candidate and the </w:t>
      </w:r>
      <w:proofErr w:type="gramStart"/>
      <w:r>
        <w:t>interview is cancelled by the candidate</w:t>
      </w:r>
      <w:proofErr w:type="gramEnd"/>
      <w:r>
        <w:t>, the department is responsible for the cost of the</w:t>
      </w:r>
      <w:r>
        <w:rPr>
          <w:spacing w:val="-17"/>
        </w:rPr>
        <w:t xml:space="preserve"> </w:t>
      </w:r>
      <w:r>
        <w:t>ticket.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</w:tabs>
        <w:spacing w:before="3" w:line="240" w:lineRule="auto"/>
        <w:ind w:left="1555" w:right="254" w:hanging="359"/>
      </w:pPr>
      <w:r>
        <w:t xml:space="preserve">Candidates who drive are limited to the lowest cost of round trip </w:t>
      </w:r>
      <w:proofErr w:type="gramStart"/>
      <w:r>
        <w:t>air fare</w:t>
      </w:r>
      <w:proofErr w:type="gramEnd"/>
      <w:r>
        <w:t xml:space="preserve"> from their point of departure for total travel expenses or a standard mileage rate, whichever is lowest. Food, lodging, and other expenses in route </w:t>
      </w:r>
      <w:proofErr w:type="gramStart"/>
      <w:r>
        <w:t>are calculated</w:t>
      </w:r>
      <w:proofErr w:type="gramEnd"/>
      <w:r>
        <w:t xml:space="preserve"> using the approved</w:t>
      </w:r>
      <w:r>
        <w:t xml:space="preserve"> NMU daily</w:t>
      </w:r>
      <w:r>
        <w:rPr>
          <w:spacing w:val="-20"/>
        </w:rPr>
        <w:t xml:space="preserve"> </w:t>
      </w:r>
      <w:r>
        <w:t>rate.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"/>
        <w:ind w:hanging="360"/>
      </w:pPr>
      <w:r>
        <w:t xml:space="preserve">Finalists from outside of the U.S. </w:t>
      </w:r>
      <w:proofErr w:type="gramStart"/>
      <w:r>
        <w:t>are only reimbursed</w:t>
      </w:r>
      <w:proofErr w:type="gramEnd"/>
      <w:r>
        <w:t xml:space="preserve"> for their travel inside the</w:t>
      </w:r>
      <w:r>
        <w:rPr>
          <w:spacing w:val="-23"/>
        </w:rPr>
        <w:t xml:space="preserve"> </w:t>
      </w:r>
      <w:r>
        <w:t>U.S.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line="240" w:lineRule="auto"/>
        <w:ind w:left="1555" w:right="137" w:hanging="359"/>
      </w:pPr>
      <w:r>
        <w:t xml:space="preserve">Departments should make the hotel reservations and charge to departmental org. </w:t>
      </w:r>
      <w:proofErr w:type="gramStart"/>
      <w:r>
        <w:t>Lodging</w:t>
      </w:r>
      <w:proofErr w:type="gramEnd"/>
      <w:r>
        <w:t xml:space="preserve"> during the on-campus interview will be paid on the single occupa</w:t>
      </w:r>
      <w:r>
        <w:t>ncy rate. Hotels that offer a NMU</w:t>
      </w:r>
      <w:r>
        <w:rPr>
          <w:spacing w:val="-1"/>
        </w:rPr>
        <w:t xml:space="preserve"> </w:t>
      </w:r>
      <w:r>
        <w:t>rate: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298"/>
        <w:jc w:val="left"/>
      </w:pPr>
      <w:r>
        <w:t>Landmark (charge to</w:t>
      </w:r>
      <w:r>
        <w:rPr>
          <w:spacing w:val="-4"/>
        </w:rPr>
        <w:t xml:space="preserve"> </w:t>
      </w:r>
      <w:r>
        <w:t>NMU)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before="1"/>
        <w:ind w:hanging="358"/>
        <w:jc w:val="left"/>
      </w:pPr>
      <w:r>
        <w:t>Comfort Suites (ask for Wildcat rate; charge to</w:t>
      </w:r>
      <w:r>
        <w:rPr>
          <w:spacing w:val="-5"/>
        </w:rPr>
        <w:t xml:space="preserve"> </w:t>
      </w:r>
      <w:r>
        <w:t>NMU)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420"/>
        <w:jc w:val="left"/>
      </w:pPr>
      <w:r>
        <w:t>Days Inn (ask for Wildcat rate; charge to</w:t>
      </w:r>
      <w:r>
        <w:rPr>
          <w:spacing w:val="-2"/>
        </w:rPr>
        <w:t xml:space="preserve"> </w:t>
      </w:r>
      <w:r>
        <w:t>NMU)</w:t>
      </w:r>
    </w:p>
    <w:p w:rsidR="00F71139" w:rsidRDefault="00F71139">
      <w:pPr>
        <w:pStyle w:val="BodyText"/>
        <w:spacing w:line="240" w:lineRule="auto"/>
        <w:ind w:left="0" w:firstLine="0"/>
      </w:pPr>
    </w:p>
    <w:p w:rsidR="00F71139" w:rsidRDefault="00237463">
      <w:pPr>
        <w:pStyle w:val="ListParagraph"/>
        <w:numPr>
          <w:ilvl w:val="0"/>
          <w:numId w:val="2"/>
        </w:numPr>
        <w:tabs>
          <w:tab w:val="left" w:pos="837"/>
        </w:tabs>
        <w:jc w:val="left"/>
      </w:pPr>
      <w:r>
        <w:t>The candidate’s expenses while on</w:t>
      </w:r>
      <w:r>
        <w:rPr>
          <w:spacing w:val="-8"/>
        </w:rPr>
        <w:t xml:space="preserve"> </w:t>
      </w:r>
      <w:r>
        <w:t>campus: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ind w:hanging="360"/>
      </w:pPr>
      <w:r>
        <w:t xml:space="preserve">Meals for the candidate </w:t>
      </w:r>
      <w:proofErr w:type="gramStart"/>
      <w:r>
        <w:t>will be</w:t>
      </w:r>
      <w:r>
        <w:rPr>
          <w:spacing w:val="-6"/>
        </w:rPr>
        <w:t xml:space="preserve"> </w:t>
      </w:r>
      <w:r>
        <w:t>covered</w:t>
      </w:r>
      <w:proofErr w:type="gramEnd"/>
      <w:r>
        <w:t>.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</w:tabs>
        <w:spacing w:before="2"/>
        <w:ind w:left="1555" w:hanging="359"/>
      </w:pPr>
      <w:r>
        <w:t>Rental car if</w:t>
      </w:r>
      <w:r>
        <w:rPr>
          <w:spacing w:val="2"/>
        </w:rPr>
        <w:t xml:space="preserve"> </w:t>
      </w:r>
      <w:r>
        <w:t>needed</w:t>
      </w:r>
    </w:p>
    <w:p w:rsidR="00F71139" w:rsidRDefault="00237463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ind w:hanging="360"/>
      </w:pPr>
      <w:r>
        <w:t>Expenses NOT COVERED for the candidate</w:t>
      </w:r>
      <w:r>
        <w:rPr>
          <w:spacing w:val="-12"/>
        </w:rPr>
        <w:t xml:space="preserve"> </w:t>
      </w:r>
      <w:r>
        <w:t>include: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before="1"/>
        <w:ind w:hanging="206"/>
        <w:jc w:val="left"/>
      </w:pPr>
      <w:r>
        <w:t>Travel expenses for the candidate’s</w:t>
      </w:r>
      <w:r>
        <w:rPr>
          <w:spacing w:val="-4"/>
        </w:rPr>
        <w:t xml:space="preserve"> </w:t>
      </w:r>
      <w:r>
        <w:t>spouse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269"/>
        <w:jc w:val="left"/>
      </w:pPr>
      <w:r>
        <w:t>Alcoholic</w:t>
      </w:r>
      <w:r>
        <w:rPr>
          <w:spacing w:val="-3"/>
        </w:rPr>
        <w:t xml:space="preserve"> </w:t>
      </w:r>
      <w:r>
        <w:t>beverages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ind w:hanging="329"/>
        <w:jc w:val="left"/>
      </w:pPr>
      <w:r>
        <w:t>Loss of wages during</w:t>
      </w:r>
      <w:r>
        <w:rPr>
          <w:spacing w:val="-3"/>
        </w:rPr>
        <w:t xml:space="preserve"> </w:t>
      </w:r>
      <w:r>
        <w:t>travel</w:t>
      </w:r>
    </w:p>
    <w:p w:rsidR="00F71139" w:rsidRDefault="00237463">
      <w:pPr>
        <w:pStyle w:val="ListParagraph"/>
        <w:numPr>
          <w:ilvl w:val="2"/>
          <w:numId w:val="2"/>
        </w:numPr>
        <w:tabs>
          <w:tab w:val="left" w:pos="2008"/>
        </w:tabs>
        <w:spacing w:before="2" w:line="240" w:lineRule="auto"/>
        <w:ind w:hanging="317"/>
        <w:jc w:val="left"/>
      </w:pPr>
      <w:r>
        <w:t>Other personal</w:t>
      </w:r>
      <w:r>
        <w:rPr>
          <w:spacing w:val="-2"/>
        </w:rPr>
        <w:t xml:space="preserve"> </w:t>
      </w:r>
      <w:r>
        <w:t>expenses</w:t>
      </w:r>
    </w:p>
    <w:p w:rsidR="00F71139" w:rsidRDefault="00F71139">
      <w:pPr>
        <w:pStyle w:val="BodyText"/>
        <w:spacing w:line="240" w:lineRule="auto"/>
        <w:ind w:left="0" w:firstLine="0"/>
      </w:pPr>
    </w:p>
    <w:p w:rsidR="00F71139" w:rsidRDefault="00237463">
      <w:pPr>
        <w:pStyle w:val="ListParagraph"/>
        <w:numPr>
          <w:ilvl w:val="0"/>
          <w:numId w:val="2"/>
        </w:numPr>
        <w:tabs>
          <w:tab w:val="left" w:pos="837"/>
        </w:tabs>
        <w:spacing w:line="240" w:lineRule="auto"/>
        <w:ind w:right="425"/>
        <w:jc w:val="both"/>
      </w:pPr>
      <w:r>
        <w:t>Reimbursement for the department will be limited to the following amoun</w:t>
      </w:r>
      <w:r>
        <w:t>ts, no matter how many people accompany a candidate. Expenses in excess of the following amounts will be borne by the department:</w:t>
      </w:r>
    </w:p>
    <w:p w:rsidR="00F71139" w:rsidRDefault="00237463">
      <w:pPr>
        <w:pStyle w:val="ListParagraph"/>
        <w:numPr>
          <w:ilvl w:val="0"/>
          <w:numId w:val="1"/>
        </w:numPr>
        <w:tabs>
          <w:tab w:val="left" w:pos="2007"/>
          <w:tab w:val="left" w:pos="2008"/>
        </w:tabs>
        <w:jc w:val="left"/>
      </w:pPr>
      <w:r>
        <w:t>Breakfast,</w:t>
      </w:r>
      <w:r>
        <w:rPr>
          <w:spacing w:val="-1"/>
        </w:rPr>
        <w:t xml:space="preserve"> </w:t>
      </w:r>
      <w:r>
        <w:t>$30.00</w:t>
      </w:r>
    </w:p>
    <w:p w:rsidR="00F71139" w:rsidRDefault="00237463">
      <w:pPr>
        <w:pStyle w:val="ListParagraph"/>
        <w:numPr>
          <w:ilvl w:val="0"/>
          <w:numId w:val="1"/>
        </w:numPr>
        <w:tabs>
          <w:tab w:val="left" w:pos="2006"/>
          <w:tab w:val="left" w:pos="2007"/>
        </w:tabs>
        <w:ind w:hanging="449"/>
        <w:jc w:val="left"/>
      </w:pPr>
      <w:r>
        <w:t>Lunch, $ 45.00</w:t>
      </w:r>
    </w:p>
    <w:p w:rsidR="00F71139" w:rsidRDefault="00237463">
      <w:pPr>
        <w:pStyle w:val="ListParagraph"/>
        <w:numPr>
          <w:ilvl w:val="0"/>
          <w:numId w:val="1"/>
        </w:numPr>
        <w:tabs>
          <w:tab w:val="left" w:pos="2006"/>
          <w:tab w:val="left" w:pos="2007"/>
        </w:tabs>
        <w:spacing w:before="1" w:line="240" w:lineRule="auto"/>
        <w:ind w:hanging="509"/>
        <w:jc w:val="left"/>
      </w:pPr>
      <w:r>
        <w:t>Dinner, $85.00</w:t>
      </w:r>
    </w:p>
    <w:sectPr w:rsidR="00F71139" w:rsidSect="00237463">
      <w:type w:val="continuous"/>
      <w:pgSz w:w="12240" w:h="15840"/>
      <w:pgMar w:top="245" w:right="1195" w:bottom="274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46C"/>
    <w:multiLevelType w:val="hybridMultilevel"/>
    <w:tmpl w:val="9F6A142E"/>
    <w:lvl w:ilvl="0" w:tplc="6A688ADC">
      <w:start w:val="1"/>
      <w:numFmt w:val="lowerRoman"/>
      <w:lvlText w:val="%1."/>
      <w:lvlJc w:val="left"/>
      <w:pPr>
        <w:ind w:left="2007" w:hanging="3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B8AAD3D6">
      <w:numFmt w:val="bullet"/>
      <w:lvlText w:val="•"/>
      <w:lvlJc w:val="left"/>
      <w:pPr>
        <w:ind w:left="2786" w:hanging="387"/>
      </w:pPr>
      <w:rPr>
        <w:rFonts w:hint="default"/>
        <w:lang w:val="en-US" w:eastAsia="en-US" w:bidi="en-US"/>
      </w:rPr>
    </w:lvl>
    <w:lvl w:ilvl="2" w:tplc="48C8AFC2">
      <w:numFmt w:val="bullet"/>
      <w:lvlText w:val="•"/>
      <w:lvlJc w:val="left"/>
      <w:pPr>
        <w:ind w:left="3572" w:hanging="387"/>
      </w:pPr>
      <w:rPr>
        <w:rFonts w:hint="default"/>
        <w:lang w:val="en-US" w:eastAsia="en-US" w:bidi="en-US"/>
      </w:rPr>
    </w:lvl>
    <w:lvl w:ilvl="3" w:tplc="24A8C814">
      <w:numFmt w:val="bullet"/>
      <w:lvlText w:val="•"/>
      <w:lvlJc w:val="left"/>
      <w:pPr>
        <w:ind w:left="4358" w:hanging="387"/>
      </w:pPr>
      <w:rPr>
        <w:rFonts w:hint="default"/>
        <w:lang w:val="en-US" w:eastAsia="en-US" w:bidi="en-US"/>
      </w:rPr>
    </w:lvl>
    <w:lvl w:ilvl="4" w:tplc="56B4CB24">
      <w:numFmt w:val="bullet"/>
      <w:lvlText w:val="•"/>
      <w:lvlJc w:val="left"/>
      <w:pPr>
        <w:ind w:left="5144" w:hanging="387"/>
      </w:pPr>
      <w:rPr>
        <w:rFonts w:hint="default"/>
        <w:lang w:val="en-US" w:eastAsia="en-US" w:bidi="en-US"/>
      </w:rPr>
    </w:lvl>
    <w:lvl w:ilvl="5" w:tplc="D2D60646">
      <w:numFmt w:val="bullet"/>
      <w:lvlText w:val="•"/>
      <w:lvlJc w:val="left"/>
      <w:pPr>
        <w:ind w:left="5930" w:hanging="387"/>
      </w:pPr>
      <w:rPr>
        <w:rFonts w:hint="default"/>
        <w:lang w:val="en-US" w:eastAsia="en-US" w:bidi="en-US"/>
      </w:rPr>
    </w:lvl>
    <w:lvl w:ilvl="6" w:tplc="2C1A2EBA">
      <w:numFmt w:val="bullet"/>
      <w:lvlText w:val="•"/>
      <w:lvlJc w:val="left"/>
      <w:pPr>
        <w:ind w:left="6716" w:hanging="387"/>
      </w:pPr>
      <w:rPr>
        <w:rFonts w:hint="default"/>
        <w:lang w:val="en-US" w:eastAsia="en-US" w:bidi="en-US"/>
      </w:rPr>
    </w:lvl>
    <w:lvl w:ilvl="7" w:tplc="EF6CAB0C">
      <w:numFmt w:val="bullet"/>
      <w:lvlText w:val="•"/>
      <w:lvlJc w:val="left"/>
      <w:pPr>
        <w:ind w:left="7502" w:hanging="387"/>
      </w:pPr>
      <w:rPr>
        <w:rFonts w:hint="default"/>
        <w:lang w:val="en-US" w:eastAsia="en-US" w:bidi="en-US"/>
      </w:rPr>
    </w:lvl>
    <w:lvl w:ilvl="8" w:tplc="81900090">
      <w:numFmt w:val="bullet"/>
      <w:lvlText w:val="•"/>
      <w:lvlJc w:val="left"/>
      <w:pPr>
        <w:ind w:left="8288" w:hanging="387"/>
      </w:pPr>
      <w:rPr>
        <w:rFonts w:hint="default"/>
        <w:lang w:val="en-US" w:eastAsia="en-US" w:bidi="en-US"/>
      </w:rPr>
    </w:lvl>
  </w:abstractNum>
  <w:abstractNum w:abstractNumId="1" w15:restartNumberingAfterBreak="0">
    <w:nsid w:val="6A8964B4"/>
    <w:multiLevelType w:val="hybridMultilevel"/>
    <w:tmpl w:val="2F52DF00"/>
    <w:lvl w:ilvl="0" w:tplc="B17C8246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w w:val="100"/>
        <w:lang w:val="en-US" w:eastAsia="en-US" w:bidi="en-US"/>
      </w:rPr>
    </w:lvl>
    <w:lvl w:ilvl="1" w:tplc="1CA2C652">
      <w:start w:val="1"/>
      <w:numFmt w:val="lowerLetter"/>
      <w:lvlText w:val="%2."/>
      <w:lvlJc w:val="left"/>
      <w:pPr>
        <w:ind w:left="1556" w:hanging="361"/>
        <w:jc w:val="left"/>
      </w:pPr>
      <w:rPr>
        <w:rFonts w:hint="default"/>
        <w:w w:val="100"/>
        <w:lang w:val="en-US" w:eastAsia="en-US" w:bidi="en-US"/>
      </w:rPr>
    </w:lvl>
    <w:lvl w:ilvl="2" w:tplc="D1BA43EC">
      <w:start w:val="1"/>
      <w:numFmt w:val="lowerRoman"/>
      <w:lvlText w:val="%3."/>
      <w:lvlJc w:val="left"/>
      <w:pPr>
        <w:ind w:left="200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265ACE5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2ABAA582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en-US"/>
      </w:rPr>
    </w:lvl>
    <w:lvl w:ilvl="5" w:tplc="DE501FE8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en-US"/>
      </w:rPr>
    </w:lvl>
    <w:lvl w:ilvl="6" w:tplc="4D10D7DE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en-US"/>
      </w:rPr>
    </w:lvl>
    <w:lvl w:ilvl="7" w:tplc="E5129A06">
      <w:numFmt w:val="bullet"/>
      <w:lvlText w:val="•"/>
      <w:lvlJc w:val="left"/>
      <w:pPr>
        <w:ind w:left="6491" w:hanging="361"/>
      </w:pPr>
      <w:rPr>
        <w:rFonts w:hint="default"/>
        <w:lang w:val="en-US" w:eastAsia="en-US" w:bidi="en-US"/>
      </w:rPr>
    </w:lvl>
    <w:lvl w:ilvl="8" w:tplc="7D1AD818">
      <w:numFmt w:val="bullet"/>
      <w:lvlText w:val="•"/>
      <w:lvlJc w:val="left"/>
      <w:pPr>
        <w:ind w:left="761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9"/>
    <w:rsid w:val="00224339"/>
    <w:rsid w:val="00237463"/>
    <w:rsid w:val="007954D0"/>
    <w:rsid w:val="00CB4CAF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9DC2"/>
  <w15:docId w15:val="{E13567E8-29C5-4B7E-B1EE-929164E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2007" w:hanging="3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20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EXPENSE GUIDELINES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EXPENSE GUIDELINES</dc:title>
  <dc:creator>Administrator</dc:creator>
  <cp:lastModifiedBy>vpaastu</cp:lastModifiedBy>
  <cp:revision>5</cp:revision>
  <dcterms:created xsi:type="dcterms:W3CDTF">2018-12-05T18:53:00Z</dcterms:created>
  <dcterms:modified xsi:type="dcterms:W3CDTF">2018-12-05T19:00:00Z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2018-12-05T00:00:00Z</vt:filetime>
  </property>
</Properties>
</file>