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Presentations/Discussions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 Brock Tessman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Appointments Committee - Micah Benjamin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Technology Resources and Policy Univeristy Committee - Micah Benjamin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Presidents Round Table - Micah Benjamin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DE&amp;I - Micah Benjamin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15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September 22nd, 2023</w:t>
    </w:r>
  </w:p>
  <w:p w:rsidR="00000000" w:rsidDel="00000000" w:rsidP="00000000" w:rsidRDefault="00000000" w:rsidRPr="00000000" w14:paraId="00000016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file/d/1JsQ0KBROax2cpGj8FYFW_4x-hQm5v_lI/view?usp=drive_link" TargetMode="External"/><Relationship Id="rId9" Type="http://schemas.openxmlformats.org/officeDocument/2006/relationships/hyperlink" Target="https://drive.google.com/file/d/1clw-vbRjWtDjcu8CepzzL-zJvx7NSQoK/view?usp=drive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ueQ3lxL290oTIlr-yggHBJzZBBxXRxbc/view?usp=drive_link" TargetMode="External"/><Relationship Id="rId8" Type="http://schemas.openxmlformats.org/officeDocument/2006/relationships/hyperlink" Target="https://drive.google.com/file/d/1aoxnItSg19J3_FVOkralRPxicyUcv5pz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MUBV3eJA2A4mlMjpKBlgwb5OVA==">CgMxLjA4AHIhMWZTMTBhN29YLURadGFqa0lwSXZuQlpzcmNGY2RlNTZI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