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6152" w14:textId="6CB96302" w:rsidR="00982954" w:rsidRDefault="00C771A6" w:rsidP="00982954">
      <w:pPr>
        <w:spacing w:after="0"/>
        <w:ind w:left="-990"/>
        <w:jc w:val="center"/>
        <w:rPr>
          <w:b/>
          <w:color w:val="385623" w:themeColor="accent6" w:themeShade="80"/>
          <w:sz w:val="38"/>
          <w:szCs w:val="38"/>
        </w:rPr>
      </w:pPr>
      <w:bookmarkStart w:id="0" w:name="_Hlk148704481"/>
      <w:r>
        <w:rPr>
          <w:noProof/>
        </w:rPr>
        <w:drawing>
          <wp:anchor distT="0" distB="0" distL="114300" distR="114300" simplePos="0" relativeHeight="251667456" behindDoc="1" locked="0" layoutInCell="1" allowOverlap="1" wp14:anchorId="4AEBA921" wp14:editId="3B1D27FB">
            <wp:simplePos x="0" y="0"/>
            <wp:positionH relativeFrom="column">
              <wp:posOffset>2362200</wp:posOffset>
            </wp:positionH>
            <wp:positionV relativeFrom="paragraph">
              <wp:posOffset>-228600</wp:posOffset>
            </wp:positionV>
            <wp:extent cx="1276350" cy="1209675"/>
            <wp:effectExtent l="0" t="0" r="0" b="9525"/>
            <wp:wrapNone/>
            <wp:docPr id="7" name="Picture 7" descr="C:\Users\cleanes\Desktop\Logos\CforForensicScience_Updatedlogo.jpg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eanes\Desktop\Logos\CforForensicScience_Updatedlogo.jpg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F818A" w14:textId="77777777" w:rsidR="00157841" w:rsidRDefault="00157841" w:rsidP="00115E91">
      <w:pPr>
        <w:spacing w:after="0"/>
        <w:ind w:left="-990"/>
        <w:jc w:val="center"/>
        <w:rPr>
          <w:b/>
          <w:color w:val="385623" w:themeColor="accent6" w:themeShade="80"/>
          <w:sz w:val="38"/>
          <w:szCs w:val="38"/>
        </w:rPr>
      </w:pPr>
    </w:p>
    <w:p w14:paraId="796D1E6A" w14:textId="77777777" w:rsidR="00157841" w:rsidRDefault="00157841" w:rsidP="00115E91">
      <w:pPr>
        <w:spacing w:after="0"/>
        <w:ind w:left="-990"/>
        <w:jc w:val="center"/>
        <w:rPr>
          <w:b/>
          <w:color w:val="385623" w:themeColor="accent6" w:themeShade="80"/>
          <w:sz w:val="38"/>
          <w:szCs w:val="38"/>
        </w:rPr>
      </w:pPr>
    </w:p>
    <w:p w14:paraId="40C1E74B" w14:textId="7034932E" w:rsidR="00E34579" w:rsidRDefault="00E34579" w:rsidP="00115E91">
      <w:pPr>
        <w:spacing w:after="0"/>
        <w:ind w:left="-990"/>
        <w:jc w:val="center"/>
        <w:rPr>
          <w:b/>
          <w:color w:val="385623" w:themeColor="accent6" w:themeShade="80"/>
          <w:sz w:val="38"/>
          <w:szCs w:val="38"/>
        </w:rPr>
      </w:pPr>
      <w:r>
        <w:rPr>
          <w:b/>
          <w:color w:val="385623" w:themeColor="accent6" w:themeShade="80"/>
          <w:sz w:val="38"/>
          <w:szCs w:val="38"/>
        </w:rPr>
        <w:t xml:space="preserve">NMU </w:t>
      </w:r>
      <w:r w:rsidR="00982954" w:rsidRPr="002D14AF">
        <w:rPr>
          <w:b/>
          <w:color w:val="385623" w:themeColor="accent6" w:themeShade="80"/>
          <w:sz w:val="38"/>
          <w:szCs w:val="38"/>
        </w:rPr>
        <w:t xml:space="preserve">Center for Forensic </w:t>
      </w:r>
      <w:r w:rsidR="00B52F69">
        <w:rPr>
          <w:b/>
          <w:color w:val="385623" w:themeColor="accent6" w:themeShade="80"/>
          <w:sz w:val="38"/>
          <w:szCs w:val="38"/>
        </w:rPr>
        <w:t>Science</w:t>
      </w:r>
      <w:r>
        <w:rPr>
          <w:b/>
          <w:color w:val="385623" w:themeColor="accent6" w:themeShade="80"/>
          <w:sz w:val="38"/>
          <w:szCs w:val="38"/>
        </w:rPr>
        <w:t xml:space="preserve">  </w:t>
      </w:r>
    </w:p>
    <w:p w14:paraId="17F82A9B" w14:textId="568F9CA1" w:rsidR="00070908" w:rsidRPr="002D14AF" w:rsidRDefault="00982954" w:rsidP="00115E91">
      <w:pPr>
        <w:spacing w:after="0"/>
        <w:ind w:left="-990"/>
        <w:jc w:val="center"/>
        <w:rPr>
          <w:b/>
          <w:color w:val="385623" w:themeColor="accent6" w:themeShade="80"/>
          <w:sz w:val="38"/>
          <w:szCs w:val="38"/>
        </w:rPr>
      </w:pPr>
      <w:r w:rsidRPr="002D14AF">
        <w:rPr>
          <w:b/>
          <w:color w:val="385623" w:themeColor="accent6" w:themeShade="80"/>
          <w:sz w:val="38"/>
          <w:szCs w:val="38"/>
        </w:rPr>
        <w:t>Present</w:t>
      </w:r>
      <w:r w:rsidR="00F86088">
        <w:rPr>
          <w:b/>
          <w:color w:val="385623" w:themeColor="accent6" w:themeShade="80"/>
          <w:sz w:val="38"/>
          <w:szCs w:val="38"/>
        </w:rPr>
        <w:t>s</w:t>
      </w:r>
      <w:r w:rsidRPr="002D14AF">
        <w:rPr>
          <w:b/>
          <w:color w:val="385623" w:themeColor="accent6" w:themeShade="80"/>
          <w:sz w:val="38"/>
          <w:szCs w:val="38"/>
        </w:rPr>
        <w:t>:</w:t>
      </w:r>
    </w:p>
    <w:p w14:paraId="7AA7FC42" w14:textId="5F8C636E" w:rsidR="00FF2543" w:rsidRPr="00070908" w:rsidRDefault="008F0E8A" w:rsidP="00115E91">
      <w:pPr>
        <w:spacing w:after="0"/>
        <w:ind w:left="-990"/>
        <w:jc w:val="center"/>
        <w:rPr>
          <w:b/>
          <w:color w:val="385623" w:themeColor="accent6" w:themeShade="80"/>
          <w:sz w:val="44"/>
          <w:szCs w:val="44"/>
        </w:rPr>
      </w:pPr>
      <w:r>
        <w:rPr>
          <w:b/>
          <w:color w:val="385623" w:themeColor="accent6" w:themeShade="80"/>
          <w:sz w:val="44"/>
          <w:szCs w:val="44"/>
        </w:rPr>
        <w:t>Human vs Nonhuman Bone Identification</w:t>
      </w:r>
    </w:p>
    <w:p w14:paraId="4E000234" w14:textId="6633D4F8" w:rsidR="00070908" w:rsidRPr="002D14AF" w:rsidRDefault="00070908" w:rsidP="00C13FF1">
      <w:pPr>
        <w:spacing w:after="0" w:line="240" w:lineRule="auto"/>
        <w:ind w:left="1354"/>
        <w:rPr>
          <w:b/>
          <w:color w:val="385623" w:themeColor="accent6" w:themeShade="80"/>
          <w:sz w:val="26"/>
          <w:szCs w:val="26"/>
        </w:rPr>
      </w:pPr>
    </w:p>
    <w:p w14:paraId="73E1D930" w14:textId="2F0848EE" w:rsidR="008E2675" w:rsidRPr="00070908" w:rsidRDefault="00C13FF1" w:rsidP="00982954">
      <w:pPr>
        <w:spacing w:after="0" w:line="240" w:lineRule="auto"/>
        <w:rPr>
          <w:b/>
          <w:color w:val="385623" w:themeColor="accent6" w:themeShade="80"/>
          <w:sz w:val="30"/>
          <w:szCs w:val="30"/>
        </w:rPr>
      </w:pPr>
      <w:r w:rsidRPr="00070908">
        <w:rPr>
          <w:b/>
          <w:color w:val="385623" w:themeColor="accent6" w:themeShade="80"/>
          <w:sz w:val="30"/>
          <w:szCs w:val="30"/>
        </w:rPr>
        <w:t>Instructor</w:t>
      </w:r>
      <w:r w:rsidR="00070908" w:rsidRPr="00070908">
        <w:rPr>
          <w:b/>
          <w:color w:val="385623" w:themeColor="accent6" w:themeShade="80"/>
          <w:sz w:val="30"/>
          <w:szCs w:val="30"/>
        </w:rPr>
        <w:t>s</w:t>
      </w:r>
      <w:r w:rsidRPr="00070908">
        <w:rPr>
          <w:b/>
          <w:color w:val="385623" w:themeColor="accent6" w:themeShade="80"/>
          <w:sz w:val="30"/>
          <w:szCs w:val="30"/>
        </w:rPr>
        <w:t xml:space="preserve">: </w:t>
      </w:r>
      <w:r w:rsidR="008F0E8A">
        <w:rPr>
          <w:b/>
          <w:color w:val="385623" w:themeColor="accent6" w:themeShade="80"/>
          <w:sz w:val="30"/>
          <w:szCs w:val="30"/>
        </w:rPr>
        <w:t>Dr. Malorie Albee,</w:t>
      </w:r>
      <w:r w:rsidR="00532540">
        <w:rPr>
          <w:b/>
          <w:color w:val="385623" w:themeColor="accent6" w:themeShade="80"/>
          <w:sz w:val="30"/>
          <w:szCs w:val="30"/>
        </w:rPr>
        <w:t xml:space="preserve"> Assistant Professor, Sociology &amp; Anthropology</w:t>
      </w:r>
      <w:r w:rsidR="008F0E8A">
        <w:rPr>
          <w:b/>
          <w:color w:val="385623" w:themeColor="accent6" w:themeShade="80"/>
          <w:sz w:val="30"/>
          <w:szCs w:val="30"/>
        </w:rPr>
        <w:t xml:space="preserve"> </w:t>
      </w:r>
      <w:r w:rsidR="008E2675" w:rsidRPr="00070908">
        <w:rPr>
          <w:b/>
          <w:color w:val="385623" w:themeColor="accent6" w:themeShade="80"/>
          <w:sz w:val="30"/>
          <w:szCs w:val="30"/>
        </w:rPr>
        <w:t xml:space="preserve"> </w:t>
      </w:r>
    </w:p>
    <w:p w14:paraId="59A35549" w14:textId="7435C654" w:rsidR="00070908" w:rsidRPr="00070908" w:rsidRDefault="00070908" w:rsidP="00C13FF1">
      <w:pPr>
        <w:spacing w:after="0" w:line="240" w:lineRule="auto"/>
        <w:ind w:left="1354"/>
        <w:rPr>
          <w:b/>
          <w:color w:val="385623" w:themeColor="accent6" w:themeShade="80"/>
          <w:sz w:val="30"/>
          <w:szCs w:val="30"/>
        </w:rPr>
      </w:pPr>
    </w:p>
    <w:p w14:paraId="6FBF3C9A" w14:textId="27A2204E" w:rsidR="003834C7" w:rsidRPr="003834C7" w:rsidRDefault="003834C7" w:rsidP="003834C7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3834C7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During this </w:t>
      </w:r>
      <w:r w:rsidR="008F0E8A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1</w:t>
      </w:r>
      <w:r w:rsidRPr="003834C7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-day course participants will gain a working knowledge of normal human skeletal anatomy and learn the basics of human vs nonhuman bone comparisons. </w:t>
      </w:r>
    </w:p>
    <w:p w14:paraId="1684D955" w14:textId="77777777" w:rsidR="003834C7" w:rsidRPr="003834C7" w:rsidRDefault="003834C7" w:rsidP="003834C7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3834C7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Participants will examine human skeletons from the Center for Forensic Science Donated Skeletal Collection and discuss both normal skeletal anatomy and common variations. </w:t>
      </w:r>
    </w:p>
    <w:p w14:paraId="01924F40" w14:textId="6E8CDCC8" w:rsidR="003834C7" w:rsidRPr="003834C7" w:rsidRDefault="003834C7" w:rsidP="003834C7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3834C7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Topics Covered: Overview of the human skeleton, basic bone biology, anatomical terminology, anatomy of the skull, postcranial anatomy, common anatomical variations, human vs nonhuman bone</w:t>
      </w:r>
      <w:r w:rsidR="008F0E8A" w:rsidRPr="008F0E8A">
        <w:rPr>
          <w:rFonts w:ascii="Calibri" w:eastAsia="Times New Roman" w:hAnsi="Calibri" w:cs="Calibri"/>
          <w:b/>
          <w:color w:val="385623" w:themeColor="accent6" w:themeShade="80"/>
          <w:sz w:val="28"/>
          <w:szCs w:val="28"/>
        </w:rPr>
        <w:t>.</w:t>
      </w:r>
    </w:p>
    <w:p w14:paraId="3FE985AF" w14:textId="3153EB25" w:rsidR="00374DBE" w:rsidRPr="00E04465" w:rsidRDefault="00374DBE" w:rsidP="00374DBE">
      <w:pPr>
        <w:shd w:val="clear" w:color="auto" w:fill="F4F8F9"/>
        <w:spacing w:after="0" w:line="240" w:lineRule="auto"/>
        <w:textAlignment w:val="baseline"/>
        <w:rPr>
          <w:rFonts w:eastAsia="Times New Roman" w:cstheme="minorHAnsi"/>
          <w:color w:val="1A2026"/>
          <w:sz w:val="26"/>
          <w:szCs w:val="26"/>
        </w:rPr>
      </w:pPr>
    </w:p>
    <w:p w14:paraId="6231F369" w14:textId="77777777" w:rsidR="003979EE" w:rsidRDefault="003979EE" w:rsidP="00562896">
      <w:pPr>
        <w:spacing w:after="0"/>
        <w:ind w:left="1440" w:hanging="1440"/>
        <w:jc w:val="center"/>
        <w:rPr>
          <w:rFonts w:cstheme="minorHAnsi"/>
          <w:b/>
          <w:color w:val="385623" w:themeColor="accent6" w:themeShade="80"/>
          <w:sz w:val="26"/>
          <w:szCs w:val="26"/>
        </w:rPr>
      </w:pPr>
    </w:p>
    <w:p w14:paraId="1975C4B6" w14:textId="46700B75" w:rsidR="00562896" w:rsidRPr="00070908" w:rsidRDefault="002C1FD9" w:rsidP="00562896">
      <w:pPr>
        <w:spacing w:after="0"/>
        <w:ind w:left="1440" w:hanging="1440"/>
        <w:jc w:val="center"/>
        <w:rPr>
          <w:b/>
          <w:color w:val="385623" w:themeColor="accent6" w:themeShade="80"/>
          <w:sz w:val="34"/>
          <w:szCs w:val="34"/>
        </w:rPr>
      </w:pPr>
      <w:r>
        <w:rPr>
          <w:b/>
          <w:color w:val="385623" w:themeColor="accent6" w:themeShade="80"/>
          <w:sz w:val="34"/>
          <w:szCs w:val="34"/>
        </w:rPr>
        <w:t>May 18</w:t>
      </w:r>
      <w:r w:rsidR="00B52F69">
        <w:rPr>
          <w:b/>
          <w:color w:val="385623" w:themeColor="accent6" w:themeShade="80"/>
          <w:sz w:val="34"/>
          <w:szCs w:val="34"/>
        </w:rPr>
        <w:t>, 202</w:t>
      </w:r>
      <w:r w:rsidR="00BD375F">
        <w:rPr>
          <w:b/>
          <w:color w:val="385623" w:themeColor="accent6" w:themeShade="80"/>
          <w:sz w:val="34"/>
          <w:szCs w:val="34"/>
        </w:rPr>
        <w:t>6</w:t>
      </w:r>
    </w:p>
    <w:p w14:paraId="44D778BE" w14:textId="684AA07F" w:rsidR="0040282F" w:rsidRPr="00070908" w:rsidRDefault="00703F73" w:rsidP="00562896">
      <w:pPr>
        <w:spacing w:after="0"/>
        <w:ind w:left="1440" w:hanging="1440"/>
        <w:jc w:val="center"/>
        <w:rPr>
          <w:b/>
          <w:color w:val="385623" w:themeColor="accent6" w:themeShade="80"/>
          <w:sz w:val="34"/>
          <w:szCs w:val="34"/>
        </w:rPr>
      </w:pPr>
      <w:r w:rsidRPr="00070908">
        <w:rPr>
          <w:b/>
          <w:color w:val="385623" w:themeColor="accent6" w:themeShade="80"/>
          <w:sz w:val="34"/>
          <w:szCs w:val="34"/>
        </w:rPr>
        <w:t>9</w:t>
      </w:r>
      <w:r w:rsidR="00562896" w:rsidRPr="00070908">
        <w:rPr>
          <w:b/>
          <w:color w:val="385623" w:themeColor="accent6" w:themeShade="80"/>
          <w:sz w:val="34"/>
          <w:szCs w:val="34"/>
        </w:rPr>
        <w:t>:00 a.m. – 5:00 p.m.</w:t>
      </w:r>
    </w:p>
    <w:p w14:paraId="16F1820B" w14:textId="681457CB" w:rsidR="00562896" w:rsidRPr="00070908" w:rsidRDefault="00562896" w:rsidP="00562896">
      <w:pPr>
        <w:spacing w:after="0"/>
        <w:ind w:left="2880" w:hanging="2880"/>
        <w:jc w:val="center"/>
        <w:rPr>
          <w:b/>
          <w:color w:val="385623" w:themeColor="accent6" w:themeShade="80"/>
          <w:sz w:val="34"/>
          <w:szCs w:val="34"/>
        </w:rPr>
      </w:pPr>
      <w:r w:rsidRPr="0040282F">
        <w:rPr>
          <w:b/>
          <w:color w:val="385623" w:themeColor="accent6" w:themeShade="80"/>
          <w:sz w:val="34"/>
          <w:szCs w:val="34"/>
          <w:u w:val="single"/>
        </w:rPr>
        <w:t>Location:</w:t>
      </w:r>
      <w:r w:rsidRPr="00070908">
        <w:rPr>
          <w:b/>
          <w:color w:val="385623" w:themeColor="accent6" w:themeShade="80"/>
          <w:sz w:val="34"/>
          <w:szCs w:val="34"/>
        </w:rPr>
        <w:t xml:space="preserve"> Jacobetti Complex Rm. 50</w:t>
      </w:r>
      <w:r w:rsidR="00281104">
        <w:rPr>
          <w:b/>
          <w:color w:val="385623" w:themeColor="accent6" w:themeShade="80"/>
          <w:sz w:val="34"/>
          <w:szCs w:val="34"/>
        </w:rPr>
        <w:t>2</w:t>
      </w:r>
    </w:p>
    <w:p w14:paraId="33A57BE6" w14:textId="11BE1CC4" w:rsidR="00562896" w:rsidRPr="00070908" w:rsidRDefault="0040282F" w:rsidP="00562896">
      <w:pPr>
        <w:spacing w:after="0"/>
        <w:ind w:left="2880" w:hanging="2880"/>
        <w:jc w:val="center"/>
        <w:rPr>
          <w:b/>
          <w:color w:val="385623" w:themeColor="accent6" w:themeShade="80"/>
          <w:sz w:val="34"/>
          <w:szCs w:val="34"/>
        </w:rPr>
      </w:pPr>
      <w:r>
        <w:rPr>
          <w:b/>
          <w:color w:val="385623" w:themeColor="accent6" w:themeShade="80"/>
          <w:sz w:val="34"/>
          <w:szCs w:val="34"/>
        </w:rPr>
        <w:t xml:space="preserve">     </w:t>
      </w:r>
      <w:r w:rsidR="00562896" w:rsidRPr="00070908">
        <w:rPr>
          <w:b/>
          <w:color w:val="385623" w:themeColor="accent6" w:themeShade="80"/>
          <w:sz w:val="34"/>
          <w:szCs w:val="34"/>
        </w:rPr>
        <w:t>2296 Sugarloaf Ave.</w:t>
      </w:r>
    </w:p>
    <w:p w14:paraId="57DA85EB" w14:textId="1B34B40F" w:rsidR="00C006F1" w:rsidRDefault="0040282F" w:rsidP="00562896">
      <w:pPr>
        <w:spacing w:after="0"/>
        <w:ind w:left="2880" w:hanging="2880"/>
        <w:jc w:val="center"/>
        <w:rPr>
          <w:b/>
          <w:color w:val="385623" w:themeColor="accent6" w:themeShade="80"/>
          <w:sz w:val="34"/>
          <w:szCs w:val="34"/>
        </w:rPr>
      </w:pPr>
      <w:r>
        <w:rPr>
          <w:b/>
          <w:color w:val="385623" w:themeColor="accent6" w:themeShade="80"/>
          <w:sz w:val="34"/>
          <w:szCs w:val="34"/>
        </w:rPr>
        <w:t xml:space="preserve">        </w:t>
      </w:r>
      <w:r w:rsidR="00562896" w:rsidRPr="00070908">
        <w:rPr>
          <w:b/>
          <w:color w:val="385623" w:themeColor="accent6" w:themeShade="80"/>
          <w:sz w:val="34"/>
          <w:szCs w:val="34"/>
        </w:rPr>
        <w:t>Marquette, MI 49855</w:t>
      </w:r>
    </w:p>
    <w:p w14:paraId="5CEBA7DA" w14:textId="19ED920F" w:rsidR="0040282F" w:rsidRDefault="008F0E8A" w:rsidP="001A6635">
      <w:pPr>
        <w:spacing w:after="0"/>
        <w:ind w:left="2340" w:hanging="2340"/>
        <w:jc w:val="center"/>
        <w:rPr>
          <w:b/>
          <w:color w:val="385623" w:themeColor="accent6" w:themeShade="80"/>
          <w:sz w:val="34"/>
          <w:szCs w:val="34"/>
        </w:rPr>
      </w:pPr>
      <w:r>
        <w:rPr>
          <w:b/>
          <w:color w:val="385623" w:themeColor="accent6" w:themeShade="80"/>
          <w:sz w:val="34"/>
          <w:szCs w:val="34"/>
        </w:rPr>
        <w:t xml:space="preserve">Cost: </w:t>
      </w:r>
      <w:r w:rsidR="002C1FD9">
        <w:rPr>
          <w:b/>
          <w:color w:val="385623" w:themeColor="accent6" w:themeShade="80"/>
          <w:sz w:val="34"/>
          <w:szCs w:val="34"/>
        </w:rPr>
        <w:t>Member $50</w:t>
      </w:r>
    </w:p>
    <w:p w14:paraId="5720B328" w14:textId="70DCE26D" w:rsidR="002C1FD9" w:rsidRDefault="002C1FD9" w:rsidP="002C1FD9">
      <w:pPr>
        <w:spacing w:after="0"/>
        <w:ind w:left="2340" w:hanging="2340"/>
        <w:rPr>
          <w:b/>
          <w:color w:val="385623" w:themeColor="accent6" w:themeShade="80"/>
          <w:sz w:val="34"/>
          <w:szCs w:val="34"/>
        </w:rPr>
      </w:pPr>
      <w:r>
        <w:rPr>
          <w:b/>
          <w:color w:val="385623" w:themeColor="accent6" w:themeShade="80"/>
          <w:sz w:val="34"/>
          <w:szCs w:val="34"/>
        </w:rPr>
        <w:tab/>
      </w:r>
      <w:r>
        <w:rPr>
          <w:b/>
          <w:color w:val="385623" w:themeColor="accent6" w:themeShade="80"/>
          <w:sz w:val="34"/>
          <w:szCs w:val="34"/>
        </w:rPr>
        <w:tab/>
      </w:r>
      <w:r>
        <w:rPr>
          <w:b/>
          <w:color w:val="385623" w:themeColor="accent6" w:themeShade="80"/>
          <w:sz w:val="34"/>
          <w:szCs w:val="34"/>
        </w:rPr>
        <w:tab/>
      </w:r>
      <w:r>
        <w:rPr>
          <w:b/>
          <w:color w:val="385623" w:themeColor="accent6" w:themeShade="80"/>
          <w:sz w:val="34"/>
          <w:szCs w:val="34"/>
        </w:rPr>
        <w:tab/>
        <w:t xml:space="preserve">  Non-Member $150</w:t>
      </w:r>
    </w:p>
    <w:p w14:paraId="1ECA3643" w14:textId="65F82FC1" w:rsidR="00C13FF1" w:rsidRPr="0001502A" w:rsidRDefault="00C13FF1" w:rsidP="00B52F69">
      <w:pPr>
        <w:spacing w:after="0"/>
        <w:ind w:left="2340" w:hanging="2340"/>
        <w:jc w:val="center"/>
        <w:rPr>
          <w:b/>
          <w:color w:val="385623" w:themeColor="accent6" w:themeShade="80"/>
          <w:sz w:val="34"/>
          <w:szCs w:val="34"/>
        </w:rPr>
      </w:pPr>
      <w:r w:rsidRPr="002D14AF">
        <w:rPr>
          <w:b/>
          <w:color w:val="385623" w:themeColor="accent6" w:themeShade="80"/>
          <w:sz w:val="48"/>
          <w:szCs w:val="48"/>
        </w:rPr>
        <w:t>To Register:</w:t>
      </w:r>
      <w:r w:rsidRPr="0001502A">
        <w:rPr>
          <w:b/>
          <w:color w:val="385623" w:themeColor="accent6" w:themeShade="80"/>
          <w:sz w:val="48"/>
          <w:szCs w:val="48"/>
        </w:rPr>
        <w:t xml:space="preserve"> </w:t>
      </w:r>
      <w:hyperlink r:id="rId9" w:history="1">
        <w:r w:rsidRPr="00FB4004">
          <w:rPr>
            <w:rStyle w:val="Hyperlink"/>
            <w:b/>
            <w:sz w:val="48"/>
            <w:szCs w:val="48"/>
          </w:rPr>
          <w:t>CVENT</w:t>
        </w:r>
      </w:hyperlink>
    </w:p>
    <w:p w14:paraId="4E905AC4" w14:textId="31E5652F" w:rsidR="00C13FF1" w:rsidRDefault="00C13FF1" w:rsidP="00C13FF1">
      <w:pPr>
        <w:spacing w:after="0"/>
        <w:ind w:left="2880" w:hanging="2880"/>
        <w:jc w:val="center"/>
        <w:rPr>
          <w:b/>
          <w:color w:val="385623" w:themeColor="accent6" w:themeShade="80"/>
          <w:sz w:val="28"/>
          <w:szCs w:val="28"/>
        </w:rPr>
      </w:pPr>
      <w:r w:rsidRPr="002D14AF">
        <w:rPr>
          <w:b/>
          <w:color w:val="385623" w:themeColor="accent6" w:themeShade="80"/>
          <w:sz w:val="28"/>
          <w:szCs w:val="28"/>
        </w:rPr>
        <w:t xml:space="preserve">Registration Deadline: </w:t>
      </w:r>
      <w:r w:rsidR="006E4834">
        <w:rPr>
          <w:b/>
          <w:color w:val="385623" w:themeColor="accent6" w:themeShade="80"/>
          <w:sz w:val="28"/>
          <w:szCs w:val="28"/>
        </w:rPr>
        <w:t>May 1, 2026</w:t>
      </w:r>
    </w:p>
    <w:p w14:paraId="0BC12FD9" w14:textId="0D55549A" w:rsidR="008D60F7" w:rsidRDefault="008D60F7" w:rsidP="00C13FF1">
      <w:pPr>
        <w:spacing w:after="0"/>
        <w:ind w:left="2880" w:hanging="2880"/>
        <w:jc w:val="center"/>
        <w:rPr>
          <w:b/>
          <w:color w:val="385623" w:themeColor="accent6" w:themeShade="80"/>
          <w:sz w:val="28"/>
          <w:szCs w:val="28"/>
        </w:rPr>
      </w:pPr>
    </w:p>
    <w:p w14:paraId="2C846513" w14:textId="77777777" w:rsidR="008D60F7" w:rsidRPr="00C70093" w:rsidRDefault="008D60F7" w:rsidP="008D60F7">
      <w:pPr>
        <w:spacing w:after="0"/>
        <w:jc w:val="center"/>
        <w:rPr>
          <w:b/>
          <w:color w:val="385623" w:themeColor="accent6" w:themeShade="80"/>
          <w:sz w:val="24"/>
          <w:szCs w:val="24"/>
        </w:rPr>
      </w:pPr>
      <w:r w:rsidRPr="00C70093">
        <w:rPr>
          <w:b/>
          <w:color w:val="385623" w:themeColor="accent6" w:themeShade="80"/>
          <w:sz w:val="24"/>
          <w:szCs w:val="24"/>
        </w:rPr>
        <w:t>MCOLES Credit for Michigan Law Enforcement Officers</w:t>
      </w:r>
    </w:p>
    <w:p w14:paraId="6E265C19" w14:textId="77777777" w:rsidR="008D60F7" w:rsidRDefault="008D60F7" w:rsidP="008D60F7">
      <w:pPr>
        <w:spacing w:after="0"/>
        <w:jc w:val="center"/>
        <w:rPr>
          <w:b/>
          <w:color w:val="385623" w:themeColor="accent6" w:themeShade="80"/>
          <w:sz w:val="24"/>
          <w:szCs w:val="24"/>
        </w:rPr>
      </w:pPr>
      <w:r w:rsidRPr="00C70093">
        <w:rPr>
          <w:b/>
          <w:color w:val="385623" w:themeColor="accent6" w:themeShade="80"/>
          <w:sz w:val="24"/>
          <w:szCs w:val="24"/>
        </w:rPr>
        <w:t xml:space="preserve">This class qualifies for continuing education credits. </w:t>
      </w:r>
    </w:p>
    <w:bookmarkEnd w:id="0"/>
    <w:p w14:paraId="51BE377A" w14:textId="64E771F9" w:rsidR="00C021AA" w:rsidRPr="002D14AF" w:rsidRDefault="00C021AA" w:rsidP="002C1FD9">
      <w:pPr>
        <w:spacing w:after="0"/>
        <w:rPr>
          <w:b/>
          <w:color w:val="385623" w:themeColor="accent6" w:themeShade="80"/>
          <w:sz w:val="24"/>
          <w:szCs w:val="24"/>
        </w:rPr>
      </w:pPr>
    </w:p>
    <w:sectPr w:rsidR="00C021AA" w:rsidRPr="002D14AF" w:rsidSect="00C77DA7">
      <w:pgSz w:w="12240" w:h="15840"/>
      <w:pgMar w:top="1170" w:right="810" w:bottom="1026" w:left="1440" w:header="720" w:footer="720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D9D9" w14:textId="77777777" w:rsidR="00B53C1B" w:rsidRDefault="00B53C1B" w:rsidP="00FB1B4E">
      <w:pPr>
        <w:spacing w:after="0" w:line="240" w:lineRule="auto"/>
      </w:pPr>
      <w:r>
        <w:separator/>
      </w:r>
    </w:p>
  </w:endnote>
  <w:endnote w:type="continuationSeparator" w:id="0">
    <w:p w14:paraId="29CC87E1" w14:textId="77777777" w:rsidR="00B53C1B" w:rsidRDefault="00B53C1B" w:rsidP="00FB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85A8" w14:textId="77777777" w:rsidR="00B53C1B" w:rsidRDefault="00B53C1B" w:rsidP="00FB1B4E">
      <w:pPr>
        <w:spacing w:after="0" w:line="240" w:lineRule="auto"/>
      </w:pPr>
      <w:r>
        <w:separator/>
      </w:r>
    </w:p>
  </w:footnote>
  <w:footnote w:type="continuationSeparator" w:id="0">
    <w:p w14:paraId="2B280B6A" w14:textId="77777777" w:rsidR="00B53C1B" w:rsidRDefault="00B53C1B" w:rsidP="00FB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67E9D"/>
    <w:multiLevelType w:val="hybridMultilevel"/>
    <w:tmpl w:val="49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5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27"/>
    <w:rsid w:val="0001502A"/>
    <w:rsid w:val="00017C38"/>
    <w:rsid w:val="00030514"/>
    <w:rsid w:val="000646A6"/>
    <w:rsid w:val="00070908"/>
    <w:rsid w:val="0009340F"/>
    <w:rsid w:val="00097386"/>
    <w:rsid w:val="000B67D0"/>
    <w:rsid w:val="000D372F"/>
    <w:rsid w:val="000D625B"/>
    <w:rsid w:val="00115E91"/>
    <w:rsid w:val="00121A9D"/>
    <w:rsid w:val="0014386D"/>
    <w:rsid w:val="00157841"/>
    <w:rsid w:val="00160634"/>
    <w:rsid w:val="00177173"/>
    <w:rsid w:val="00195344"/>
    <w:rsid w:val="001A6635"/>
    <w:rsid w:val="001C0335"/>
    <w:rsid w:val="001C2CC9"/>
    <w:rsid w:val="001F1478"/>
    <w:rsid w:val="00221C78"/>
    <w:rsid w:val="00234E47"/>
    <w:rsid w:val="002444D4"/>
    <w:rsid w:val="002626D5"/>
    <w:rsid w:val="00281104"/>
    <w:rsid w:val="00286F7B"/>
    <w:rsid w:val="00291566"/>
    <w:rsid w:val="002948BE"/>
    <w:rsid w:val="00296E05"/>
    <w:rsid w:val="002A23F9"/>
    <w:rsid w:val="002A583B"/>
    <w:rsid w:val="002B10F8"/>
    <w:rsid w:val="002C1FD9"/>
    <w:rsid w:val="002D14AF"/>
    <w:rsid w:val="002E74FC"/>
    <w:rsid w:val="002F6397"/>
    <w:rsid w:val="003141E9"/>
    <w:rsid w:val="003143F0"/>
    <w:rsid w:val="003317B1"/>
    <w:rsid w:val="00332032"/>
    <w:rsid w:val="00347A7D"/>
    <w:rsid w:val="0037187E"/>
    <w:rsid w:val="00374DBE"/>
    <w:rsid w:val="003834C7"/>
    <w:rsid w:val="003872A8"/>
    <w:rsid w:val="003979EE"/>
    <w:rsid w:val="003B60EC"/>
    <w:rsid w:val="003D202D"/>
    <w:rsid w:val="003E0048"/>
    <w:rsid w:val="003F3AE7"/>
    <w:rsid w:val="0040282F"/>
    <w:rsid w:val="00421850"/>
    <w:rsid w:val="00424236"/>
    <w:rsid w:val="004261BF"/>
    <w:rsid w:val="004360C0"/>
    <w:rsid w:val="00466017"/>
    <w:rsid w:val="00467A76"/>
    <w:rsid w:val="004C5E59"/>
    <w:rsid w:val="004F07EB"/>
    <w:rsid w:val="004F11E0"/>
    <w:rsid w:val="004F463D"/>
    <w:rsid w:val="0052368D"/>
    <w:rsid w:val="00524CFE"/>
    <w:rsid w:val="00532540"/>
    <w:rsid w:val="005375F1"/>
    <w:rsid w:val="00537E12"/>
    <w:rsid w:val="0054436A"/>
    <w:rsid w:val="005610AA"/>
    <w:rsid w:val="00562491"/>
    <w:rsid w:val="00562896"/>
    <w:rsid w:val="00593DDA"/>
    <w:rsid w:val="005A1C0D"/>
    <w:rsid w:val="005B6FFD"/>
    <w:rsid w:val="005B7EED"/>
    <w:rsid w:val="005F1A6F"/>
    <w:rsid w:val="00626099"/>
    <w:rsid w:val="00650D21"/>
    <w:rsid w:val="00651363"/>
    <w:rsid w:val="00683D2A"/>
    <w:rsid w:val="006A007E"/>
    <w:rsid w:val="006A1704"/>
    <w:rsid w:val="006B593B"/>
    <w:rsid w:val="006D427B"/>
    <w:rsid w:val="006D6476"/>
    <w:rsid w:val="006E4834"/>
    <w:rsid w:val="006F7D04"/>
    <w:rsid w:val="00703F73"/>
    <w:rsid w:val="0071086C"/>
    <w:rsid w:val="00715074"/>
    <w:rsid w:val="007356EE"/>
    <w:rsid w:val="00750827"/>
    <w:rsid w:val="00770A05"/>
    <w:rsid w:val="00775978"/>
    <w:rsid w:val="007B58DE"/>
    <w:rsid w:val="007C3277"/>
    <w:rsid w:val="008110EF"/>
    <w:rsid w:val="00843B0F"/>
    <w:rsid w:val="00861123"/>
    <w:rsid w:val="008B19A8"/>
    <w:rsid w:val="008C4BE6"/>
    <w:rsid w:val="008C59F7"/>
    <w:rsid w:val="008D60F7"/>
    <w:rsid w:val="008E2675"/>
    <w:rsid w:val="008F0E8A"/>
    <w:rsid w:val="009163CA"/>
    <w:rsid w:val="009178E0"/>
    <w:rsid w:val="009211E8"/>
    <w:rsid w:val="00935CB1"/>
    <w:rsid w:val="00942EDD"/>
    <w:rsid w:val="00946DCA"/>
    <w:rsid w:val="00970B70"/>
    <w:rsid w:val="00971806"/>
    <w:rsid w:val="00975F05"/>
    <w:rsid w:val="00981F06"/>
    <w:rsid w:val="00982954"/>
    <w:rsid w:val="00992E52"/>
    <w:rsid w:val="009C2466"/>
    <w:rsid w:val="009E3167"/>
    <w:rsid w:val="009F5BBD"/>
    <w:rsid w:val="00A03DD1"/>
    <w:rsid w:val="00A24EDF"/>
    <w:rsid w:val="00A4198E"/>
    <w:rsid w:val="00A41F8F"/>
    <w:rsid w:val="00A50CD1"/>
    <w:rsid w:val="00A63B7A"/>
    <w:rsid w:val="00AA0FC5"/>
    <w:rsid w:val="00AA101F"/>
    <w:rsid w:val="00AC0BC2"/>
    <w:rsid w:val="00B03670"/>
    <w:rsid w:val="00B411E6"/>
    <w:rsid w:val="00B4182B"/>
    <w:rsid w:val="00B46B88"/>
    <w:rsid w:val="00B50C01"/>
    <w:rsid w:val="00B52F69"/>
    <w:rsid w:val="00B53C1B"/>
    <w:rsid w:val="00B665A2"/>
    <w:rsid w:val="00B668BD"/>
    <w:rsid w:val="00B75F07"/>
    <w:rsid w:val="00B9309D"/>
    <w:rsid w:val="00B938FC"/>
    <w:rsid w:val="00B942EF"/>
    <w:rsid w:val="00BA3E4D"/>
    <w:rsid w:val="00BB7C22"/>
    <w:rsid w:val="00BD375F"/>
    <w:rsid w:val="00C006F1"/>
    <w:rsid w:val="00C021AA"/>
    <w:rsid w:val="00C13FF1"/>
    <w:rsid w:val="00C315B8"/>
    <w:rsid w:val="00C37434"/>
    <w:rsid w:val="00C63072"/>
    <w:rsid w:val="00C70093"/>
    <w:rsid w:val="00C7193A"/>
    <w:rsid w:val="00C723A3"/>
    <w:rsid w:val="00C72CA8"/>
    <w:rsid w:val="00C771A6"/>
    <w:rsid w:val="00C77DA7"/>
    <w:rsid w:val="00CA0601"/>
    <w:rsid w:val="00CD56BE"/>
    <w:rsid w:val="00CE2D92"/>
    <w:rsid w:val="00CF3FB4"/>
    <w:rsid w:val="00D023FE"/>
    <w:rsid w:val="00D357F0"/>
    <w:rsid w:val="00D71EAB"/>
    <w:rsid w:val="00D85CDF"/>
    <w:rsid w:val="00DE063A"/>
    <w:rsid w:val="00E04465"/>
    <w:rsid w:val="00E21639"/>
    <w:rsid w:val="00E33CB9"/>
    <w:rsid w:val="00E34579"/>
    <w:rsid w:val="00EB5ECA"/>
    <w:rsid w:val="00EC0506"/>
    <w:rsid w:val="00EC2724"/>
    <w:rsid w:val="00ED1685"/>
    <w:rsid w:val="00EF5515"/>
    <w:rsid w:val="00F1558D"/>
    <w:rsid w:val="00F3349C"/>
    <w:rsid w:val="00F352A3"/>
    <w:rsid w:val="00F51E31"/>
    <w:rsid w:val="00F558D5"/>
    <w:rsid w:val="00F61650"/>
    <w:rsid w:val="00F76759"/>
    <w:rsid w:val="00F86088"/>
    <w:rsid w:val="00FB1B4E"/>
    <w:rsid w:val="00FB4004"/>
    <w:rsid w:val="00FB6C78"/>
    <w:rsid w:val="00FC026B"/>
    <w:rsid w:val="00FD7D8A"/>
    <w:rsid w:val="00FF2543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AEB7"/>
  <w15:chartTrackingRefBased/>
  <w15:docId w15:val="{33F45BFB-918B-4D86-8EE5-48D67CC6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B4E"/>
  </w:style>
  <w:style w:type="paragraph" w:styleId="Footer">
    <w:name w:val="footer"/>
    <w:basedOn w:val="Normal"/>
    <w:link w:val="FooterChar"/>
    <w:uiPriority w:val="99"/>
    <w:unhideWhenUsed/>
    <w:rsid w:val="00FB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B4E"/>
  </w:style>
  <w:style w:type="character" w:styleId="FollowedHyperlink">
    <w:name w:val="FollowedHyperlink"/>
    <w:basedOn w:val="DefaultParagraphFont"/>
    <w:uiPriority w:val="99"/>
    <w:semiHidden/>
    <w:unhideWhenUsed/>
    <w:rsid w:val="00E216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1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1E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FF1"/>
    <w:pPr>
      <w:spacing w:line="256" w:lineRule="auto"/>
      <w:ind w:left="720"/>
      <w:contextualSpacing/>
    </w:pPr>
  </w:style>
  <w:style w:type="paragraph" w:customStyle="1" w:styleId="Default">
    <w:name w:val="Default"/>
    <w:rsid w:val="004028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38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vent.me/gqoMM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B1AB-5512-4B1B-8662-64672FC3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Leanes</dc:creator>
  <cp:keywords/>
  <dc:description/>
  <cp:lastModifiedBy>Leanes, Carley L</cp:lastModifiedBy>
  <cp:revision>5</cp:revision>
  <cp:lastPrinted>2023-09-05T11:47:00Z</cp:lastPrinted>
  <dcterms:created xsi:type="dcterms:W3CDTF">2026-04-21T11:53:00Z</dcterms:created>
  <dcterms:modified xsi:type="dcterms:W3CDTF">2026-04-21T12:33:00Z</dcterms:modified>
</cp:coreProperties>
</file>