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7E02E0">
        <w:rPr>
          <w:b/>
        </w:rPr>
        <w:t xml:space="preserve"> </w:t>
      </w:r>
      <w:r w:rsidR="007E02E0" w:rsidRPr="00121A29">
        <w:t>MU145 Introduction to Music Literature</w:t>
      </w:r>
    </w:p>
    <w:p w:rsidR="004936B1" w:rsidRPr="007A65D6" w:rsidRDefault="004936B1">
      <w:pPr>
        <w:rPr>
          <w:b/>
        </w:rPr>
      </w:pPr>
      <w:r w:rsidRPr="007A65D6">
        <w:rPr>
          <w:b/>
        </w:rPr>
        <w:t>Home Department:</w:t>
      </w:r>
      <w:r w:rsidR="007E02E0">
        <w:rPr>
          <w:b/>
        </w:rPr>
        <w:t xml:space="preserve"> </w:t>
      </w:r>
      <w:r w:rsidR="007E02E0" w:rsidRPr="00121A29">
        <w:t>Music</w:t>
      </w:r>
    </w:p>
    <w:p w:rsidR="004936B1" w:rsidRDefault="004936B1">
      <w:r w:rsidRPr="007A65D6">
        <w:rPr>
          <w:b/>
        </w:rPr>
        <w:t>Department Chair Name and Contact Information</w:t>
      </w:r>
      <w:r>
        <w:t xml:space="preserve"> </w:t>
      </w:r>
      <w:r w:rsidR="00DE48CF">
        <w:t>Jeffrey Vickers,</w:t>
      </w:r>
      <w:r w:rsidR="007E02E0">
        <w:t xml:space="preserve"> </w:t>
      </w:r>
      <w:hyperlink r:id="rId6" w:history="1">
        <w:r w:rsidR="007E02E0" w:rsidRPr="00F34B82">
          <w:rPr>
            <w:rStyle w:val="Hyperlink"/>
          </w:rPr>
          <w:t>jevicker@nmu.edu</w:t>
        </w:r>
      </w:hyperlink>
      <w:r w:rsidR="008B699B">
        <w:t>,</w:t>
      </w:r>
      <w:r w:rsidR="007E02E0">
        <w:t xml:space="preserve"> 227-2563</w:t>
      </w:r>
    </w:p>
    <w:p w:rsidR="004936B1" w:rsidRDefault="004936B1">
      <w:r w:rsidRPr="007A65D6">
        <w:rPr>
          <w:b/>
        </w:rPr>
        <w:t>Expected frequency of Offering of the course</w:t>
      </w:r>
      <w:r w:rsidR="007E02E0">
        <w:t xml:space="preserve"> Each Fall</w:t>
      </w:r>
    </w:p>
    <w:p w:rsidR="00B81179" w:rsidRDefault="00DE239C">
      <w:r w:rsidRPr="00DE239C">
        <w:rPr>
          <w:b/>
        </w:rPr>
        <w:t>Official Course Status</w:t>
      </w:r>
      <w:r>
        <w:t xml:space="preserve">: </w:t>
      </w:r>
      <w:r w:rsidR="00B81179">
        <w:t>Has this course been appr</w:t>
      </w:r>
      <w:r w:rsidR="007E02E0">
        <w:t xml:space="preserve">oved by CUP and Senate?  </w:t>
      </w:r>
      <w:r w:rsidR="00753B8E">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5556D1"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w:t>
      </w:r>
      <w:proofErr w:type="gramStart"/>
      <w:r w:rsidR="005B2CA6" w:rsidRPr="005B2CA6">
        <w:rPr>
          <w:i/>
        </w:rPr>
        <w:t>syllabus</w:t>
      </w:r>
      <w:proofErr w:type="gramEnd"/>
      <w:r w:rsidR="005B2CA6" w:rsidRPr="005B2CA6">
        <w:rPr>
          <w:i/>
        </w:rPr>
        <w:t>)</w:t>
      </w:r>
      <w:r>
        <w:t xml:space="preserve"> </w:t>
      </w:r>
    </w:p>
    <w:p w:rsidR="005556D1" w:rsidRDefault="00753B8E">
      <w:r>
        <w:object w:dxaOrig="165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4pt" o:ole="">
            <v:imagedata r:id="rId7" o:title=""/>
          </v:shape>
          <o:OLEObject Type="Embed" ProgID="Acrobat.Document.DC" ShapeID="_x0000_i1025" DrawAspect="Icon" ObjectID="_1655116783" r:id="rId8"/>
        </w:object>
      </w:r>
    </w:p>
    <w:p w:rsidR="00147F10" w:rsidRPr="00DE48CF" w:rsidRDefault="00147F10">
      <w:pPr>
        <w:rPr>
          <w:b/>
        </w:rPr>
      </w:pPr>
      <w:r w:rsidRPr="00DE48CF">
        <w:rPr>
          <w:b/>
        </w:rPr>
        <w:t xml:space="preserve">A. </w:t>
      </w:r>
      <w:r w:rsidR="005B2CA6" w:rsidRPr="00DE48CF">
        <w:rPr>
          <w:b/>
        </w:rPr>
        <w:t>O</w:t>
      </w:r>
      <w:r w:rsidRPr="00DE48CF">
        <w:rPr>
          <w:b/>
        </w:rPr>
        <w:t>verview of the course content</w:t>
      </w:r>
    </w:p>
    <w:p w:rsidR="007E02E0" w:rsidRDefault="007E02E0" w:rsidP="00DE48CF">
      <w:pPr>
        <w:ind w:left="576"/>
        <w:rPr>
          <w:rFonts w:ascii="Calibri" w:hAnsi="Calibri" w:cs="TimesNewRomanPSMT"/>
        </w:rPr>
      </w:pPr>
      <w:r w:rsidRPr="007B564B">
        <w:rPr>
          <w:rFonts w:ascii="Calibri" w:hAnsi="Calibri"/>
        </w:rPr>
        <w:t xml:space="preserve">This </w:t>
      </w:r>
      <w:r w:rsidRPr="00AB0D8D">
        <w:rPr>
          <w:rFonts w:ascii="Calibri" w:hAnsi="Calibri"/>
        </w:rPr>
        <w:t xml:space="preserve">course is designed as a survey course to introduce the history of Western classical music and literature. Topics include musical terminology, forms, styles, and historical periods. An emphasis is placed on listening to art music of the classical music canon. </w:t>
      </w:r>
      <w:r w:rsidRPr="00AB0D8D">
        <w:rPr>
          <w:rFonts w:ascii="Calibri" w:hAnsi="Calibri" w:cs="TimesNewRomanPSMT"/>
        </w:rPr>
        <w:t>Special attention will be given to the primary composers, their ma</w:t>
      </w:r>
      <w:r w:rsidR="00CC1F2B">
        <w:rPr>
          <w:rFonts w:ascii="Calibri" w:hAnsi="Calibri" w:cs="TimesNewRomanPSMT"/>
        </w:rPr>
        <w:t>sterworks (symphony, opera, etc.</w:t>
      </w:r>
      <w:r w:rsidRPr="00AB0D8D">
        <w:rPr>
          <w:rFonts w:ascii="Calibri" w:hAnsi="Calibri" w:cs="TimesNewRomanPSMT"/>
        </w:rPr>
        <w:t>), and their contributions to the development of the history of music</w:t>
      </w:r>
      <w:r>
        <w:rPr>
          <w:rFonts w:ascii="Calibri" w:hAnsi="Calibri" w:cs="TimesNewRomanPSMT"/>
        </w:rPr>
        <w:t>.</w:t>
      </w:r>
    </w:p>
    <w:p w:rsidR="007E02E0" w:rsidRPr="00DE48CF" w:rsidRDefault="00147F10" w:rsidP="00DE48CF">
      <w:pPr>
        <w:rPr>
          <w:b/>
        </w:rPr>
      </w:pPr>
      <w:r w:rsidRPr="00DE48CF">
        <w:rPr>
          <w:b/>
        </w:rPr>
        <w:t xml:space="preserve">B. </w:t>
      </w:r>
      <w:r w:rsidR="005B2CA6" w:rsidRPr="00DE48CF">
        <w:rPr>
          <w:b/>
        </w:rPr>
        <w:t>Explain why this</w:t>
      </w:r>
      <w:r w:rsidR="003C2429" w:rsidRPr="00DE48CF">
        <w:rPr>
          <w:b/>
        </w:rPr>
        <w:t xml:space="preserve"> course satisfies the </w:t>
      </w:r>
      <w:r w:rsidR="005B2CA6" w:rsidRPr="00DE48CF">
        <w:rPr>
          <w:b/>
        </w:rPr>
        <w:t>Component</w:t>
      </w:r>
      <w:r w:rsidR="00753348" w:rsidRPr="00DE48CF">
        <w:rPr>
          <w:b/>
        </w:rPr>
        <w:t xml:space="preserve"> </w:t>
      </w:r>
      <w:r w:rsidR="003C2429" w:rsidRPr="00DE48CF">
        <w:rPr>
          <w:b/>
        </w:rPr>
        <w:t xml:space="preserve">specified </w:t>
      </w:r>
      <w:r w:rsidR="00753348" w:rsidRPr="00DE48CF">
        <w:rPr>
          <w:b/>
        </w:rPr>
        <w:t>and significantly addresses both learning outcomes</w:t>
      </w:r>
    </w:p>
    <w:p w:rsidR="00C4704A" w:rsidRDefault="007E02E0" w:rsidP="00DE48CF">
      <w:pPr>
        <w:ind w:left="576"/>
      </w:pPr>
      <w:r w:rsidRPr="00E116A1">
        <w:rPr>
          <w:b/>
        </w:rPr>
        <w:t>CRITICAL THINKING:</w:t>
      </w:r>
      <w:r>
        <w:rPr>
          <w:b/>
        </w:rPr>
        <w:t xml:space="preserve"> </w:t>
      </w:r>
      <w:r w:rsidR="007737F6">
        <w:t>T</w:t>
      </w:r>
      <w:r w:rsidRPr="00E116A1">
        <w:t xml:space="preserve">he </w:t>
      </w:r>
      <w:r w:rsidRPr="00E116A1">
        <w:rPr>
          <w:i/>
        </w:rPr>
        <w:t>Evidence</w:t>
      </w:r>
      <w:r w:rsidRPr="00E116A1">
        <w:t xml:space="preserve"> l</w:t>
      </w:r>
      <w:r w:rsidR="007737F6">
        <w:t>earning outcome dimension is addressed through the experience of examining significant musical</w:t>
      </w:r>
      <w:r w:rsidR="00F77245">
        <w:t xml:space="preserve"> works</w:t>
      </w:r>
      <w:r w:rsidR="007737F6">
        <w:t xml:space="preserve"> through the lens of established aesthetic</w:t>
      </w:r>
      <w:r w:rsidR="00F77245">
        <w:t xml:space="preserve"> standards. </w:t>
      </w:r>
      <w:r w:rsidR="007737F6">
        <w:t>While</w:t>
      </w:r>
      <w:r w:rsidR="00F77245">
        <w:t xml:space="preserve"> not </w:t>
      </w:r>
      <w:r w:rsidR="00BD0B44">
        <w:t>denigrating</w:t>
      </w:r>
      <w:r w:rsidR="00F77245">
        <w:t xml:space="preserve"> the validity of </w:t>
      </w:r>
      <w:r w:rsidR="007737F6">
        <w:t>personal preference</w:t>
      </w:r>
      <w:r w:rsidR="00F77245">
        <w:t xml:space="preserve">, students will be assessed on their ability to differentiate between such preferences and the characteristics of </w:t>
      </w:r>
      <w:r w:rsidR="00BD0B44">
        <w:t xml:space="preserve">a composition </w:t>
      </w:r>
      <w:r w:rsidR="00F77245">
        <w:t xml:space="preserve">and its cultural context that have earned it the status of a masterpiece. Using </w:t>
      </w:r>
      <w:r w:rsidR="00BD0B44">
        <w:t xml:space="preserve">terms </w:t>
      </w:r>
      <w:r w:rsidR="00277EC9">
        <w:t xml:space="preserve">and concepts </w:t>
      </w:r>
      <w:r w:rsidR="00BD0B44">
        <w:t xml:space="preserve">conveyed in </w:t>
      </w:r>
      <w:r w:rsidRPr="00E116A1">
        <w:t xml:space="preserve">lectures, </w:t>
      </w:r>
      <w:r w:rsidR="00277EC9">
        <w:t>text readings,</w:t>
      </w:r>
      <w:r w:rsidRPr="00E116A1">
        <w:t xml:space="preserve"> and </w:t>
      </w:r>
      <w:r w:rsidR="00D15DEB">
        <w:t>guided</w:t>
      </w:r>
      <w:r w:rsidR="00277EC9">
        <w:t xml:space="preserve"> </w:t>
      </w:r>
      <w:r w:rsidRPr="00E116A1">
        <w:t>listening</w:t>
      </w:r>
      <w:r w:rsidR="00F77245">
        <w:t xml:space="preserve">, students should demonstrate </w:t>
      </w:r>
      <w:r w:rsidR="00D15DEB">
        <w:t xml:space="preserve">the ability to defend their judgments about a piece or </w:t>
      </w:r>
      <w:r w:rsidR="00BD0B44">
        <w:t xml:space="preserve">musical </w:t>
      </w:r>
      <w:r w:rsidR="00D15DEB">
        <w:t xml:space="preserve">style, basing arguments on an appropriate combination of </w:t>
      </w:r>
      <w:r w:rsidR="00BD0B44">
        <w:t xml:space="preserve">actual </w:t>
      </w:r>
      <w:r w:rsidR="00D15DEB">
        <w:t xml:space="preserve">analysis, accepted external opinion, and personal preference.  This learning will be assessed primarily through </w:t>
      </w:r>
      <w:r w:rsidR="00BD0B44">
        <w:t xml:space="preserve">written assignments </w:t>
      </w:r>
      <w:r w:rsidR="00753B8E">
        <w:t>described below</w:t>
      </w:r>
      <w:r w:rsidR="00D15DEB">
        <w:t xml:space="preserve">. </w:t>
      </w:r>
      <w:r w:rsidR="00BD0B44">
        <w:t>The experience will lead all students toward a greater</w:t>
      </w:r>
      <w:r w:rsidR="00277EC9">
        <w:t xml:space="preserve"> enjoyment and appreciation</w:t>
      </w:r>
      <w:r w:rsidR="00CC1F2B">
        <w:t xml:space="preserve"> for varying or unfamiliar </w:t>
      </w:r>
      <w:r w:rsidR="00BD0B44">
        <w:t xml:space="preserve">styles and genres. Music majors in particular </w:t>
      </w:r>
      <w:r w:rsidR="00CC1F2B">
        <w:t>will develop a</w:t>
      </w:r>
      <w:r w:rsidR="00327C70">
        <w:t xml:space="preserve"> </w:t>
      </w:r>
      <w:r w:rsidR="00CC1F2B">
        <w:t>foundation vital to success</w:t>
      </w:r>
      <w:r w:rsidR="00BD0B44">
        <w:t xml:space="preserve"> in the music history sequence, in which they will need to grapple with significant contrasting </w:t>
      </w:r>
      <w:r w:rsidR="00BD0B44">
        <w:lastRenderedPageBreak/>
        <w:t xml:space="preserve">viewpoints in music history and criticism, e.g. Wagner versus Brahms.  </w:t>
      </w:r>
      <w:r w:rsidR="00327C70">
        <w:t xml:space="preserve">To satisfy </w:t>
      </w:r>
      <w:r w:rsidRPr="00E116A1">
        <w:t xml:space="preserve">the </w:t>
      </w:r>
      <w:r w:rsidRPr="00E116A1">
        <w:rPr>
          <w:i/>
        </w:rPr>
        <w:t>Integration</w:t>
      </w:r>
      <w:r w:rsidRPr="00E116A1">
        <w:t xml:space="preserve"> learning outcome dimension</w:t>
      </w:r>
      <w:r w:rsidR="00121A29">
        <w:t>,</w:t>
      </w:r>
      <w:r w:rsidRPr="00E116A1">
        <w:t xml:space="preserve"> students </w:t>
      </w:r>
      <w:r w:rsidR="00327C70">
        <w:t>will apply music</w:t>
      </w:r>
      <w:r w:rsidRPr="00E116A1">
        <w:t xml:space="preserve"> </w:t>
      </w:r>
      <w:r w:rsidR="006C3D57">
        <w:t xml:space="preserve">terms and concepts to the task of distinguishing among </w:t>
      </w:r>
      <w:r w:rsidR="00C4704A">
        <w:t xml:space="preserve">the </w:t>
      </w:r>
      <w:r w:rsidR="006C3D57">
        <w:t>major</w:t>
      </w:r>
      <w:r w:rsidR="00327C70">
        <w:t xml:space="preserve"> time periods of Western art music, </w:t>
      </w:r>
      <w:r w:rsidR="00CC1F2B">
        <w:t xml:space="preserve">including insight into the evolution of style and performance practice related to </w:t>
      </w:r>
      <w:r w:rsidR="00327C70">
        <w:t>culture</w:t>
      </w:r>
      <w:r w:rsidR="00CC1F2B">
        <w:t>s</w:t>
      </w:r>
      <w:r w:rsidR="00327C70">
        <w:t xml:space="preserve"> from which </w:t>
      </w:r>
      <w:r w:rsidR="00CC1F2B">
        <w:t xml:space="preserve">the music came. </w:t>
      </w:r>
      <w:r w:rsidR="00D03185">
        <w:t xml:space="preserve">This will be reflected in both exam performance and in the term paper. </w:t>
      </w:r>
      <w:r w:rsidR="00327C70">
        <w:t xml:space="preserve">To meet </w:t>
      </w:r>
      <w:r w:rsidRPr="00E116A1">
        <w:t xml:space="preserve">the </w:t>
      </w:r>
      <w:r w:rsidRPr="00E116A1">
        <w:rPr>
          <w:i/>
        </w:rPr>
        <w:t>Evaluation</w:t>
      </w:r>
      <w:r w:rsidRPr="00E116A1">
        <w:t xml:space="preserve"> learning outcome dimension,</w:t>
      </w:r>
      <w:r>
        <w:t xml:space="preserve"> MU145</w:t>
      </w:r>
      <w:r w:rsidRPr="00E116A1">
        <w:t xml:space="preserve"> students independently attend </w:t>
      </w:r>
      <w:r w:rsidR="00327C70">
        <w:t>live music performances from an approved list</w:t>
      </w:r>
      <w:r w:rsidRPr="00E116A1">
        <w:t xml:space="preserve">, </w:t>
      </w:r>
      <w:r w:rsidR="00327C70">
        <w:t xml:space="preserve">and, using </w:t>
      </w:r>
      <w:r w:rsidR="006C3D57">
        <w:t>musical terms</w:t>
      </w:r>
      <w:r w:rsidR="00C4704A">
        <w:t xml:space="preserve"> and </w:t>
      </w:r>
      <w:r w:rsidR="006C3D57">
        <w:t xml:space="preserve">acquired </w:t>
      </w:r>
      <w:r w:rsidR="00C4704A">
        <w:t xml:space="preserve">listening </w:t>
      </w:r>
      <w:r w:rsidRPr="00E116A1">
        <w:t xml:space="preserve">skills, </w:t>
      </w:r>
      <w:r w:rsidR="00327C70">
        <w:t xml:space="preserve">report coherently on the concerts </w:t>
      </w:r>
      <w:r w:rsidR="00C4704A">
        <w:t xml:space="preserve">in written form. Concert reviews must include accurate comments on the music itself as well as subjective reactions. </w:t>
      </w:r>
      <w:r w:rsidR="00D03185">
        <w:t>The term paper will also provide evidence of evaluation skills.</w:t>
      </w:r>
    </w:p>
    <w:p w:rsidR="00C61F73" w:rsidRDefault="007E02E0" w:rsidP="00DE48CF">
      <w:pPr>
        <w:ind w:left="576"/>
      </w:pPr>
      <w:r w:rsidRPr="00E116A1">
        <w:rPr>
          <w:b/>
        </w:rPr>
        <w:t>HUMAN EXPRESSION:</w:t>
      </w:r>
      <w:r w:rsidR="006C3D57">
        <w:t xml:space="preserve"> A</w:t>
      </w:r>
      <w:r w:rsidR="00C4704A">
        <w:t xml:space="preserve"> univer</w:t>
      </w:r>
      <w:r w:rsidR="006C3D57">
        <w:t xml:space="preserve">sal human experience, music provides </w:t>
      </w:r>
      <w:r w:rsidR="00C4704A">
        <w:t>a unique window into a</w:t>
      </w:r>
      <w:r w:rsidRPr="00E116A1">
        <w:t xml:space="preserve"> society’s </w:t>
      </w:r>
      <w:r w:rsidR="006C3D57">
        <w:t xml:space="preserve">values and </w:t>
      </w:r>
      <w:r w:rsidR="00C61F73">
        <w:t>philosophy.</w:t>
      </w:r>
      <w:r w:rsidR="006C3D57">
        <w:t xml:space="preserve"> </w:t>
      </w:r>
      <w:r w:rsidR="001F6AAC">
        <w:t xml:space="preserve"> As </w:t>
      </w:r>
      <w:r w:rsidR="006C3D57">
        <w:t xml:space="preserve">students </w:t>
      </w:r>
      <w:r w:rsidR="001F6AAC">
        <w:t xml:space="preserve">are guided through </w:t>
      </w:r>
      <w:r w:rsidR="006C3D57">
        <w:t xml:space="preserve">the </w:t>
      </w:r>
      <w:r w:rsidR="001F6AAC">
        <w:t xml:space="preserve">chronology of Western music, comparing masterworks with each epoch’s </w:t>
      </w:r>
      <w:r w:rsidR="006C3D57">
        <w:t>societ</w:t>
      </w:r>
      <w:r w:rsidR="001F6AAC">
        <w:t xml:space="preserve">al conditions and </w:t>
      </w:r>
      <w:r w:rsidR="00C61F73">
        <w:t>values</w:t>
      </w:r>
      <w:r w:rsidR="00035597">
        <w:t>, they will construct</w:t>
      </w:r>
      <w:r w:rsidR="001F6AAC">
        <w:t xml:space="preserve"> a</w:t>
      </w:r>
      <w:r w:rsidR="00035597">
        <w:t xml:space="preserve"> life-long</w:t>
      </w:r>
      <w:r w:rsidR="001F6AAC">
        <w:t xml:space="preserve"> template for </w:t>
      </w:r>
      <w:r w:rsidRPr="00E116A1">
        <w:t>reflect</w:t>
      </w:r>
      <w:r w:rsidR="001F6AAC">
        <w:t xml:space="preserve">ing </w:t>
      </w:r>
      <w:r w:rsidRPr="00E116A1">
        <w:t xml:space="preserve">upon </w:t>
      </w:r>
      <w:r w:rsidR="001F6AAC">
        <w:t xml:space="preserve">human culture through the arts. </w:t>
      </w:r>
      <w:r w:rsidR="00035597">
        <w:t xml:space="preserve">Appreciating the power of music to both </w:t>
      </w:r>
      <w:r w:rsidR="00C61F73">
        <w:t>express</w:t>
      </w:r>
      <w:r w:rsidR="00035597">
        <w:t xml:space="preserve"> and influence culture, and armed with a working vocabulary of terms and concepts, they will be more likely to explore unfamiliar styles and genres, including non-western music and arts. </w:t>
      </w:r>
      <w:r w:rsidR="0002778E">
        <w:t>In addition, for each style period, parallel developments in the visual arts, architecture, and literature will be noted, in order to develop a comprehensive aesthetic sense beyond music itself. T</w:t>
      </w:r>
      <w:r w:rsidR="00035597">
        <w:t>he course will lay a foundation for making</w:t>
      </w:r>
      <w:r w:rsidRPr="00E116A1">
        <w:t xml:space="preserve"> informed choices </w:t>
      </w:r>
      <w:r w:rsidR="0002778E">
        <w:t>about music and the arts</w:t>
      </w:r>
      <w:r w:rsidR="00035597">
        <w:t xml:space="preserve"> that will enrich the individual and community through listening, </w:t>
      </w:r>
      <w:r w:rsidR="0002778E">
        <w:t xml:space="preserve">viewing, </w:t>
      </w:r>
      <w:r w:rsidR="00035597">
        <w:t>performing</w:t>
      </w:r>
      <w:r w:rsidR="00C61F73">
        <w:t xml:space="preserve">, and advocacy. </w:t>
      </w:r>
      <w:r w:rsidR="00035597">
        <w:t xml:space="preserve"> </w:t>
      </w:r>
    </w:p>
    <w:p w:rsidR="007E02E0" w:rsidRPr="00C61F73" w:rsidRDefault="00C61F73" w:rsidP="00DE48CF">
      <w:pPr>
        <w:ind w:left="576"/>
        <w:rPr>
          <w:rFonts w:eastAsia="Times New Roman" w:cs="Times New Roman"/>
        </w:rPr>
      </w:pPr>
      <w:r>
        <w:t xml:space="preserve">To address </w:t>
      </w:r>
      <w:r w:rsidR="007E02E0" w:rsidRPr="00E116A1">
        <w:t xml:space="preserve">the </w:t>
      </w:r>
      <w:r w:rsidR="007E02E0" w:rsidRPr="00E116A1">
        <w:rPr>
          <w:rFonts w:eastAsia="Times New Roman" w:cs="Times New Roman"/>
          <w:i/>
        </w:rPr>
        <w:t>Knowledge of the role of the aesthetic</w:t>
      </w:r>
      <w:r w:rsidR="007E02E0" w:rsidRPr="00E116A1">
        <w:rPr>
          <w:rFonts w:eastAsia="Times New Roman" w:cs="Times New Roman"/>
        </w:rPr>
        <w:t xml:space="preserve"> </w:t>
      </w:r>
      <w:r w:rsidR="007E02E0">
        <w:rPr>
          <w:rFonts w:eastAsia="Times New Roman" w:cs="Times New Roman"/>
        </w:rPr>
        <w:t xml:space="preserve">learning outcome dimension, </w:t>
      </w:r>
      <w:r w:rsidR="007E02E0" w:rsidRPr="00E116A1">
        <w:rPr>
          <w:rFonts w:eastAsia="Times New Roman" w:cs="Times New Roman"/>
        </w:rPr>
        <w:t xml:space="preserve">students will examine </w:t>
      </w:r>
      <w:r>
        <w:rPr>
          <w:rFonts w:eastAsia="Times New Roman" w:cs="Times New Roman"/>
        </w:rPr>
        <w:t xml:space="preserve">primary composers and specific </w:t>
      </w:r>
      <w:r w:rsidR="007E02E0" w:rsidRPr="00E116A1">
        <w:rPr>
          <w:rFonts w:eastAsia="Times New Roman" w:cs="Times New Roman"/>
        </w:rPr>
        <w:t>compo</w:t>
      </w:r>
      <w:r>
        <w:rPr>
          <w:rFonts w:eastAsia="Times New Roman" w:cs="Times New Roman"/>
        </w:rPr>
        <w:t xml:space="preserve">sitions within the contexts of </w:t>
      </w:r>
      <w:r w:rsidR="007E02E0" w:rsidRPr="00E116A1">
        <w:rPr>
          <w:rFonts w:eastAsia="Times New Roman" w:cs="Times New Roman"/>
        </w:rPr>
        <w:t>time period, cultur</w:t>
      </w:r>
      <w:r w:rsidR="008C7BD6">
        <w:rPr>
          <w:rFonts w:eastAsia="Times New Roman" w:cs="Times New Roman"/>
        </w:rPr>
        <w:t xml:space="preserve">e, location, and the composer’s personal motivations. </w:t>
      </w:r>
      <w:r>
        <w:rPr>
          <w:rFonts w:eastAsia="Times New Roman" w:cs="Times New Roman"/>
        </w:rPr>
        <w:t>T</w:t>
      </w:r>
      <w:r w:rsidR="007E02E0" w:rsidRPr="00E116A1">
        <w:rPr>
          <w:rFonts w:eastAsia="Times New Roman" w:cs="Times New Roman"/>
        </w:rPr>
        <w:t xml:space="preserve">he </w:t>
      </w:r>
      <w:r w:rsidR="007E02E0" w:rsidRPr="00E116A1">
        <w:rPr>
          <w:rFonts w:eastAsia="Times New Roman" w:cs="Times New Roman"/>
          <w:i/>
        </w:rPr>
        <w:t>Innovative Thinking</w:t>
      </w:r>
      <w:r w:rsidR="007E02E0" w:rsidRPr="00E116A1">
        <w:rPr>
          <w:rFonts w:eastAsia="Times New Roman" w:cs="Times New Roman"/>
        </w:rPr>
        <w:t xml:space="preserve"> </w:t>
      </w:r>
      <w:r w:rsidR="007E02E0">
        <w:rPr>
          <w:rFonts w:eastAsia="Times New Roman" w:cs="Times New Roman"/>
        </w:rPr>
        <w:t>l</w:t>
      </w:r>
      <w:r>
        <w:rPr>
          <w:rFonts w:eastAsia="Times New Roman" w:cs="Times New Roman"/>
        </w:rPr>
        <w:t xml:space="preserve">earning outcome dimension will be satisfied </w:t>
      </w:r>
      <w:r w:rsidR="008C7BD6">
        <w:rPr>
          <w:rFonts w:eastAsia="Times New Roman" w:cs="Times New Roman"/>
        </w:rPr>
        <w:t xml:space="preserve">through </w:t>
      </w:r>
      <w:r w:rsidR="007E02E0" w:rsidRPr="00E116A1">
        <w:rPr>
          <w:rFonts w:eastAsia="Times New Roman" w:cs="Times New Roman"/>
        </w:rPr>
        <w:t>assess</w:t>
      </w:r>
      <w:r w:rsidR="008C7BD6">
        <w:rPr>
          <w:rFonts w:eastAsia="Times New Roman" w:cs="Times New Roman"/>
        </w:rPr>
        <w:t>ing</w:t>
      </w:r>
      <w:r w:rsidR="007E02E0" w:rsidRPr="00E116A1">
        <w:rPr>
          <w:rFonts w:eastAsia="Times New Roman" w:cs="Times New Roman"/>
        </w:rPr>
        <w:t xml:space="preserve"> </w:t>
      </w:r>
      <w:r w:rsidR="00753B8E">
        <w:rPr>
          <w:rFonts w:eastAsia="Times New Roman" w:cs="Times New Roman"/>
        </w:rPr>
        <w:t xml:space="preserve">application of knowledge through </w:t>
      </w:r>
      <w:r w:rsidR="008C7BD6">
        <w:rPr>
          <w:rFonts w:eastAsia="Times New Roman" w:cs="Times New Roman"/>
        </w:rPr>
        <w:t xml:space="preserve">written concert reviews, </w:t>
      </w:r>
      <w:r>
        <w:rPr>
          <w:rFonts w:eastAsia="Times New Roman" w:cs="Times New Roman"/>
        </w:rPr>
        <w:t xml:space="preserve">using </w:t>
      </w:r>
      <w:r w:rsidR="008C7BD6">
        <w:rPr>
          <w:rFonts w:eastAsia="Times New Roman" w:cs="Times New Roman"/>
        </w:rPr>
        <w:t>appropriate musical terms that describe the music itself (genre, form, melody, harmony, rhythm, etc</w:t>
      </w:r>
      <w:r w:rsidR="00121A29">
        <w:rPr>
          <w:rFonts w:eastAsia="Times New Roman" w:cs="Times New Roman"/>
        </w:rPr>
        <w:t>.</w:t>
      </w:r>
      <w:r w:rsidR="008C7BD6">
        <w:rPr>
          <w:rFonts w:eastAsia="Times New Roman" w:cs="Times New Roman"/>
        </w:rPr>
        <w:t>) as well as the cultural context of the piece. Objective content will be stressed over subjective comments (“this was cool,” “I was bored”)</w:t>
      </w:r>
      <w:r w:rsidR="00121A29">
        <w:rPr>
          <w:rFonts w:eastAsia="Times New Roman" w:cs="Times New Roman"/>
        </w:rPr>
        <w:t xml:space="preserve">. </w:t>
      </w:r>
      <w:r w:rsidR="008C7BD6">
        <w:rPr>
          <w:rFonts w:eastAsia="Times New Roman" w:cs="Times New Roman"/>
        </w:rPr>
        <w:t xml:space="preserve"> </w:t>
      </w:r>
      <w:r w:rsidR="00121A29">
        <w:rPr>
          <w:rFonts w:eastAsia="Times New Roman" w:cs="Times New Roman"/>
        </w:rPr>
        <w:t xml:space="preserve">To address </w:t>
      </w:r>
      <w:r w:rsidR="007E02E0" w:rsidRPr="00E116A1">
        <w:rPr>
          <w:rFonts w:eastAsia="Times New Roman" w:cs="Times New Roman"/>
        </w:rPr>
        <w:t xml:space="preserve">the </w:t>
      </w:r>
      <w:r w:rsidR="007E02E0" w:rsidRPr="00E116A1">
        <w:rPr>
          <w:rFonts w:eastAsia="Times New Roman" w:cs="Times New Roman"/>
          <w:i/>
        </w:rPr>
        <w:t>Acknowledging Contradictions</w:t>
      </w:r>
      <w:r w:rsidR="007E02E0" w:rsidRPr="00E116A1">
        <w:rPr>
          <w:rFonts w:eastAsia="Times New Roman" w:cs="Times New Roman"/>
        </w:rPr>
        <w:t xml:space="preserve"> </w:t>
      </w:r>
      <w:r w:rsidR="007E02E0">
        <w:rPr>
          <w:rFonts w:eastAsia="Times New Roman" w:cs="Times New Roman"/>
        </w:rPr>
        <w:t>l</w:t>
      </w:r>
      <w:r w:rsidR="00121A29">
        <w:rPr>
          <w:rFonts w:eastAsia="Times New Roman" w:cs="Times New Roman"/>
        </w:rPr>
        <w:t>earning outcome dimension, students will be exposed to basic ideas regarding</w:t>
      </w:r>
      <w:r w:rsidR="00010DED">
        <w:rPr>
          <w:rFonts w:eastAsia="Times New Roman" w:cs="Times New Roman"/>
        </w:rPr>
        <w:t xml:space="preserve"> aesthetics, wrestling </w:t>
      </w:r>
      <w:r w:rsidR="00121A29">
        <w:rPr>
          <w:rFonts w:eastAsia="Times New Roman" w:cs="Times New Roman"/>
        </w:rPr>
        <w:t>with timeless questions</w:t>
      </w:r>
      <w:r w:rsidR="00010DED">
        <w:rPr>
          <w:rFonts w:eastAsia="Times New Roman" w:cs="Times New Roman"/>
        </w:rPr>
        <w:t>: What is beautiful? A</w:t>
      </w:r>
      <w:r w:rsidR="001F6114">
        <w:rPr>
          <w:rFonts w:eastAsia="Times New Roman" w:cs="Times New Roman"/>
        </w:rPr>
        <w:t xml:space="preserve">re there useful </w:t>
      </w:r>
      <w:r w:rsidR="00010DED">
        <w:rPr>
          <w:rFonts w:eastAsia="Times New Roman" w:cs="Times New Roman"/>
        </w:rPr>
        <w:t xml:space="preserve">standards for evaluating the intrinsic worth of a piece of art or music, or for comparing two performances of the same work?  </w:t>
      </w:r>
    </w:p>
    <w:p w:rsidR="007E02E0" w:rsidRPr="00DE48CF" w:rsidRDefault="00147F10">
      <w:pPr>
        <w:rPr>
          <w:b/>
        </w:rPr>
      </w:pPr>
      <w:r w:rsidRPr="00DE48CF">
        <w:rPr>
          <w:b/>
        </w:rPr>
        <w:t>C.</w:t>
      </w:r>
      <w:r w:rsidR="005B2CA6" w:rsidRPr="00DE48CF">
        <w:rPr>
          <w:b/>
        </w:rPr>
        <w:t xml:space="preserve"> </w:t>
      </w:r>
      <w:r w:rsidR="00531A8E" w:rsidRPr="00DE48CF">
        <w:rPr>
          <w:b/>
        </w:rPr>
        <w:t>Describe</w:t>
      </w:r>
      <w:r w:rsidR="005B2CA6" w:rsidRPr="00DE48CF">
        <w:rPr>
          <w:b/>
        </w:rPr>
        <w:t xml:space="preserve"> the t</w:t>
      </w:r>
      <w:r w:rsidR="007A65D6" w:rsidRPr="00DE48CF">
        <w:rPr>
          <w:b/>
        </w:rPr>
        <w:t>arget audience (l</w:t>
      </w:r>
      <w:r w:rsidRPr="00DE48CF">
        <w:rPr>
          <w:b/>
        </w:rPr>
        <w:t xml:space="preserve">evel, student groups, etc.) </w:t>
      </w:r>
    </w:p>
    <w:p w:rsidR="007E02E0" w:rsidRPr="005B2CA6" w:rsidRDefault="00D0263A" w:rsidP="00DE48CF">
      <w:pPr>
        <w:ind w:left="576"/>
      </w:pPr>
      <w:sdt>
        <w:sdtPr>
          <w:alias w:val="Benefits of New Course"/>
          <w:tag w:val="Benefits of New Course"/>
          <w:id w:val="38787069"/>
          <w:placeholder>
            <w:docPart w:val="295A09DBA35D49DC809CB5C519CA1D0A"/>
          </w:placeholder>
        </w:sdtPr>
        <w:sdtEndPr>
          <w:rPr>
            <w:szCs w:val="24"/>
          </w:rPr>
        </w:sdtEndPr>
        <w:sdtContent>
          <w:r w:rsidR="007E02E0">
            <w:t>MU125 Music in Society has long been p</w:t>
          </w:r>
          <w:r w:rsidR="00BA17C7">
            <w:t>art of the music core, but the</w:t>
          </w:r>
          <w:r w:rsidR="007E02E0" w:rsidRPr="00960F14">
            <w:t xml:space="preserve"> faculty have </w:t>
          </w:r>
          <w:r w:rsidR="00BA17C7">
            <w:t xml:space="preserve">agreed for years that the </w:t>
          </w:r>
          <w:r w:rsidR="007E02E0">
            <w:t xml:space="preserve">course, </w:t>
          </w:r>
          <w:r w:rsidR="007E02E0" w:rsidRPr="00960F14">
            <w:t xml:space="preserve"> with</w:t>
          </w:r>
          <w:r w:rsidR="007E02E0">
            <w:t xml:space="preserve"> </w:t>
          </w:r>
          <w:r w:rsidR="00BA17C7">
            <w:t xml:space="preserve">its necessarily broad focus and geared </w:t>
          </w:r>
          <w:r w:rsidR="007E02E0">
            <w:t>toward the general university student</w:t>
          </w:r>
          <w:r w:rsidR="00BA17C7">
            <w:t xml:space="preserve"> with no musical experience</w:t>
          </w:r>
          <w:r w:rsidR="007E02E0" w:rsidRPr="00960F14">
            <w:t xml:space="preserve">, does not serve the needs of </w:t>
          </w:r>
          <w:r w:rsidR="00BA17C7">
            <w:t xml:space="preserve">our music majors as </w:t>
          </w:r>
          <w:r w:rsidR="007E02E0" w:rsidRPr="00960F14">
            <w:t xml:space="preserve">preparation for </w:t>
          </w:r>
          <w:r w:rsidR="00BA17C7">
            <w:t xml:space="preserve">entering </w:t>
          </w:r>
          <w:r w:rsidR="007E02E0" w:rsidRPr="00960F14">
            <w:t xml:space="preserve">the music history sequence. </w:t>
          </w:r>
          <w:r w:rsidR="007E02E0">
            <w:t xml:space="preserve"> Replacing MU125 with MU145 in the core </w:t>
          </w:r>
          <w:r w:rsidR="00BA17C7">
            <w:t>will provide this</w:t>
          </w:r>
          <w:r w:rsidR="007E02E0">
            <w:t xml:space="preserve"> vital entry-level course for our majors, many of whom </w:t>
          </w:r>
          <w:r w:rsidR="00BA17C7">
            <w:t xml:space="preserve">do </w:t>
          </w:r>
          <w:r w:rsidR="007E02E0">
            <w:t xml:space="preserve">lack sufficient background.  </w:t>
          </w:r>
          <w:r w:rsidR="007E02E0" w:rsidRPr="00010DED">
            <w:rPr>
              <w:i/>
            </w:rPr>
            <w:t>Human Expression</w:t>
          </w:r>
          <w:r w:rsidR="007E02E0">
            <w:t xml:space="preserve"> inclusion will permit </w:t>
          </w:r>
          <w:r w:rsidR="00BA17C7">
            <w:t>them</w:t>
          </w:r>
          <w:r w:rsidR="007E02E0">
            <w:t xml:space="preserve"> to apply the course to their General Studies program, as in the past.  In addi</w:t>
          </w:r>
          <w:r w:rsidR="00BA17C7">
            <w:t xml:space="preserve">tion, however, we are aware of the high number of NMU students with considerable musical experience and background, for whom MU125 often cannot provide adequate challenge or interest.  It is believed that the 3-credit MU145 course will be an attractive option for these students. </w:t>
          </w:r>
        </w:sdtContent>
      </w:sdt>
    </w:p>
    <w:p w:rsidR="00147F10" w:rsidRPr="00DE48CF" w:rsidRDefault="00531A8E">
      <w:pPr>
        <w:rPr>
          <w:b/>
        </w:rPr>
      </w:pPr>
      <w:r w:rsidRPr="00DE48CF">
        <w:rPr>
          <w:b/>
        </w:rPr>
        <w:t>D. Give i</w:t>
      </w:r>
      <w:r w:rsidR="00901A5C" w:rsidRPr="00DE48CF">
        <w:rPr>
          <w:b/>
        </w:rPr>
        <w:t>nformation on other roles this course may serve (e.g. University Requirement, required for a major</w:t>
      </w:r>
      <w:r w:rsidR="005B2CA6" w:rsidRPr="00DE48CF">
        <w:rPr>
          <w:b/>
        </w:rPr>
        <w:t>(s)</w:t>
      </w:r>
      <w:r w:rsidR="00901A5C" w:rsidRPr="00DE48CF">
        <w:rPr>
          <w:b/>
        </w:rPr>
        <w:t>, etc.)</w:t>
      </w:r>
      <w:r w:rsidR="00DE239C" w:rsidRPr="00DE48CF">
        <w:rPr>
          <w:b/>
        </w:rPr>
        <w:t xml:space="preserve"> </w:t>
      </w:r>
    </w:p>
    <w:p w:rsidR="00BA17C7" w:rsidRPr="00E116A1" w:rsidRDefault="00DE48CF" w:rsidP="00BA17C7">
      <w:r>
        <w:t xml:space="preserve">           </w:t>
      </w:r>
      <w:r w:rsidR="00BA17C7">
        <w:t>MU143 will replace MU125 in the core of the BME and BA/BS degrees and in the</w:t>
      </w:r>
      <w:r w:rsidR="00BA17C7" w:rsidRPr="00E116A1">
        <w:t xml:space="preserve"> music minor.</w:t>
      </w:r>
      <w:r w:rsidR="00480EDA">
        <w:t xml:space="preserve">  </w:t>
      </w:r>
    </w:p>
    <w:p w:rsidR="003950D7" w:rsidRDefault="00531A8E">
      <w:pPr>
        <w:rPr>
          <w:b/>
        </w:rPr>
      </w:pPr>
      <w:r w:rsidRPr="00DE48CF">
        <w:rPr>
          <w:b/>
        </w:rPr>
        <w:t>E. Provide any o</w:t>
      </w:r>
      <w:r w:rsidR="00147F10" w:rsidRPr="00DE48CF">
        <w:rPr>
          <w:b/>
        </w:rPr>
        <w:t>ther information that may be relevant to the review of the course by GEC</w:t>
      </w:r>
    </w:p>
    <w:p w:rsidR="00F6033A" w:rsidRPr="008C6A04" w:rsidRDefault="00DE48CF" w:rsidP="008C6A04">
      <w:pPr>
        <w:ind w:left="576"/>
      </w:pPr>
      <w:r>
        <w:t xml:space="preserve">Attempts have been made to adapt MU125 to the needs of music majors by </w:t>
      </w:r>
      <w:r w:rsidR="003950D7">
        <w:t>putting majors in</w:t>
      </w:r>
      <w:r>
        <w:t xml:space="preserve"> one section and providing additional assignments for them</w:t>
      </w:r>
      <w:r w:rsidR="003950D7">
        <w:t xml:space="preserve">, etc. However, since lectures, discussions, and evaluation have needed </w:t>
      </w:r>
      <w:r w:rsidR="003950D7">
        <w:lastRenderedPageBreak/>
        <w:t xml:space="preserve">to remain accessible to complete non-musicians, these experiments have not been deemed successful for either groups.  In terms of </w:t>
      </w:r>
      <w:r w:rsidR="00480EDA">
        <w:t xml:space="preserve">non-major </w:t>
      </w:r>
      <w:r w:rsidR="003950D7">
        <w:t xml:space="preserve">enrollment, </w:t>
      </w:r>
      <w:r w:rsidR="00480EDA">
        <w:t>the department recognizes the challenge of a course design</w:t>
      </w:r>
      <w:r w:rsidR="002A6EA2">
        <w:t>ed for music majors but open to non-majors.</w:t>
      </w:r>
      <w:r w:rsidR="00010DED">
        <w:t xml:space="preserve"> The course description will not mention any particular level of music reading ability or performing level, but it is assumed that non-majors will recognize the nature of the course and enroll appropriately</w:t>
      </w:r>
      <w:r w:rsidR="001F6114">
        <w:t xml:space="preserve">. Faculty </w:t>
      </w:r>
      <w:r w:rsidR="00010DED">
        <w:t>perceptio</w:t>
      </w:r>
      <w:r w:rsidR="001F6114">
        <w:t>n of external</w:t>
      </w:r>
      <w:r w:rsidR="00C63F16">
        <w:t xml:space="preserve"> interest is</w:t>
      </w:r>
      <w:r w:rsidR="00010DED">
        <w:t xml:space="preserve"> based on </w:t>
      </w:r>
      <w:r w:rsidR="001F6114">
        <w:t xml:space="preserve">the large numbers of musically experienced non-majors in ensembles, many of whom would not be sufficiently challenged by the content of MU125. </w:t>
      </w:r>
    </w:p>
    <w:p w:rsidR="007A65D6" w:rsidRPr="007A65D6" w:rsidRDefault="0002778E" w:rsidP="00D03185">
      <w:pPr>
        <w:jc w:val="center"/>
        <w:rPr>
          <w:b/>
        </w:rPr>
      </w:pPr>
      <w:r>
        <w:rPr>
          <w:b/>
        </w:rPr>
        <w:t>PL</w:t>
      </w:r>
      <w:r w:rsidR="007A65D6" w:rsidRPr="007A65D6">
        <w:rPr>
          <w:b/>
        </w:rPr>
        <w:t>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F6033A" w:rsidRDefault="00DE48CF">
      <w:r>
        <w:t xml:space="preserve"> </w:t>
      </w:r>
    </w:p>
    <w:tbl>
      <w:tblPr>
        <w:tblStyle w:val="TableGrid"/>
        <w:tblW w:w="0" w:type="auto"/>
        <w:tblLook w:val="04A0" w:firstRow="1" w:lastRow="0" w:firstColumn="1" w:lastColumn="0" w:noHBand="0" w:noVBand="1"/>
      </w:tblPr>
      <w:tblGrid>
        <w:gridCol w:w="1345"/>
        <w:gridCol w:w="2340"/>
        <w:gridCol w:w="6750"/>
      </w:tblGrid>
      <w:tr w:rsidR="00DE48CF" w:rsidRPr="00E116A1" w:rsidTr="002F1BAD">
        <w:tc>
          <w:tcPr>
            <w:tcW w:w="1345" w:type="dxa"/>
          </w:tcPr>
          <w:p w:rsidR="00DE48CF" w:rsidRPr="00E116A1" w:rsidRDefault="00DE48CF" w:rsidP="002F1BAD">
            <w:pPr>
              <w:rPr>
                <w:b/>
              </w:rPr>
            </w:pPr>
            <w:r w:rsidRPr="00E116A1">
              <w:rPr>
                <w:b/>
              </w:rPr>
              <w:t>DIMENSION</w:t>
            </w:r>
          </w:p>
        </w:tc>
        <w:tc>
          <w:tcPr>
            <w:tcW w:w="2340" w:type="dxa"/>
          </w:tcPr>
          <w:p w:rsidR="00DE48CF" w:rsidRPr="00E116A1" w:rsidRDefault="00DE48CF" w:rsidP="002F1BAD">
            <w:pPr>
              <w:rPr>
                <w:b/>
              </w:rPr>
            </w:pPr>
            <w:r w:rsidRPr="00E116A1">
              <w:rPr>
                <w:b/>
              </w:rPr>
              <w:t>WHAT IS BEING ASSESSED</w:t>
            </w:r>
          </w:p>
        </w:tc>
        <w:tc>
          <w:tcPr>
            <w:tcW w:w="6750" w:type="dxa"/>
          </w:tcPr>
          <w:p w:rsidR="00DE48CF" w:rsidRPr="00E116A1" w:rsidRDefault="00DE48CF" w:rsidP="002F1BAD">
            <w:pPr>
              <w:rPr>
                <w:b/>
              </w:rPr>
            </w:pPr>
            <w:r w:rsidRPr="00E116A1">
              <w:rPr>
                <w:b/>
              </w:rPr>
              <w:t>PLAN FOR ASSESSMENT</w:t>
            </w:r>
          </w:p>
        </w:tc>
      </w:tr>
      <w:tr w:rsidR="00DE48CF" w:rsidRPr="00E116A1" w:rsidTr="002F1BAD">
        <w:tc>
          <w:tcPr>
            <w:tcW w:w="1345" w:type="dxa"/>
          </w:tcPr>
          <w:p w:rsidR="00DE48CF" w:rsidRPr="00E116A1" w:rsidRDefault="00DE48CF" w:rsidP="002F1BAD">
            <w:pPr>
              <w:rPr>
                <w:b/>
              </w:rPr>
            </w:pPr>
            <w:r w:rsidRPr="00E116A1">
              <w:rPr>
                <w:b/>
              </w:rPr>
              <w:t>Evidence</w:t>
            </w:r>
          </w:p>
        </w:tc>
        <w:tc>
          <w:tcPr>
            <w:tcW w:w="2340" w:type="dxa"/>
          </w:tcPr>
          <w:p w:rsidR="00DE48CF" w:rsidRPr="00E116A1" w:rsidRDefault="00DE48CF" w:rsidP="002F1BAD">
            <w:r w:rsidRPr="00E116A1">
              <w:t>Assesses quality of information that may be integrated into an argument</w:t>
            </w:r>
          </w:p>
        </w:tc>
        <w:tc>
          <w:tcPr>
            <w:tcW w:w="6750" w:type="dxa"/>
          </w:tcPr>
          <w:p w:rsidR="00DE48CF" w:rsidRPr="00F74A74" w:rsidRDefault="00DE48CF" w:rsidP="002F1BAD">
            <w:pPr>
              <w:ind w:left="252" w:hanging="252"/>
            </w:pPr>
            <w:r>
              <w:rPr>
                <w:i/>
              </w:rPr>
              <w:t>Task Type</w:t>
            </w:r>
            <w:r w:rsidR="00D03185">
              <w:t xml:space="preserve">: </w:t>
            </w:r>
            <w:r w:rsidR="00BD0B44" w:rsidRPr="00F74A74">
              <w:t>Term Pa</w:t>
            </w:r>
            <w:r w:rsidR="00753B8E">
              <w:t>per, concert attendance essay</w:t>
            </w:r>
          </w:p>
          <w:p w:rsidR="00DE48CF" w:rsidRPr="00F74A74" w:rsidRDefault="00DE48CF" w:rsidP="002F1BAD">
            <w:pPr>
              <w:ind w:left="252" w:hanging="252"/>
            </w:pPr>
            <w:r w:rsidRPr="00F74A74">
              <w:rPr>
                <w:i/>
              </w:rPr>
              <w:t>Frequency</w:t>
            </w:r>
            <w:r w:rsidR="00831EEB" w:rsidRPr="00F74A74">
              <w:t xml:space="preserve">: </w:t>
            </w:r>
            <w:r w:rsidR="00DA69ED">
              <w:t>One term paper, one or two concert reports</w:t>
            </w:r>
          </w:p>
          <w:p w:rsidR="00DE48CF" w:rsidRPr="00F74A74" w:rsidRDefault="00DE48CF" w:rsidP="002F1BAD">
            <w:pPr>
              <w:ind w:left="252" w:hanging="252"/>
            </w:pPr>
            <w:r w:rsidRPr="00F74A74">
              <w:rPr>
                <w:i/>
              </w:rPr>
              <w:t>Overall Grading Weight</w:t>
            </w:r>
            <w:r w:rsidR="00D03185" w:rsidRPr="00F74A74">
              <w:t xml:space="preserve">:  </w:t>
            </w:r>
            <w:r w:rsidR="00831EEB" w:rsidRPr="00F74A74">
              <w:t>approx. 10</w:t>
            </w:r>
            <w:r w:rsidRPr="00F74A74">
              <w:t>%</w:t>
            </w:r>
            <w:r w:rsidR="00BD0B44" w:rsidRPr="00F74A74">
              <w:t xml:space="preserve"> </w:t>
            </w:r>
            <w:r w:rsidR="00831EEB" w:rsidRPr="00F74A74">
              <w:t xml:space="preserve"> </w:t>
            </w:r>
          </w:p>
          <w:p w:rsidR="00E062B2" w:rsidRPr="00F74A74" w:rsidRDefault="00DE48CF" w:rsidP="00E062B2">
            <w:r w:rsidRPr="00F74A74">
              <w:rPr>
                <w:i/>
              </w:rPr>
              <w:t>Expected Proficiency Rate</w:t>
            </w:r>
            <w:r w:rsidRPr="00F74A74">
              <w:t xml:space="preserve">: </w:t>
            </w:r>
            <w:r w:rsidR="00E062B2" w:rsidRPr="00F74A74">
              <w:t>75% upon course completion</w:t>
            </w:r>
          </w:p>
          <w:p w:rsidR="00DE48CF" w:rsidRPr="00E116A1" w:rsidRDefault="00DE48CF" w:rsidP="00753B8E">
            <w:r w:rsidRPr="00825677">
              <w:rPr>
                <w:i/>
              </w:rPr>
              <w:t>Assessment Plan</w:t>
            </w:r>
            <w:r>
              <w:t xml:space="preserve">:  </w:t>
            </w:r>
            <w:r w:rsidR="0083776F">
              <w:t xml:space="preserve">The course provides tools for analyzing the elements and </w:t>
            </w:r>
            <w:r w:rsidR="00F74A74">
              <w:t xml:space="preserve">cultural context of music. Using these resources, students will be challenged to </w:t>
            </w:r>
            <w:r w:rsidR="009F2CF6">
              <w:t>differentiate a</w:t>
            </w:r>
            <w:r w:rsidR="00F74A74">
              <w:t>mong the possible sources for</w:t>
            </w:r>
            <w:r w:rsidR="009F2CF6">
              <w:t xml:space="preserve"> </w:t>
            </w:r>
            <w:r w:rsidR="00F74A74">
              <w:t xml:space="preserve">their </w:t>
            </w:r>
            <w:r w:rsidR="009F2CF6">
              <w:t>response to music</w:t>
            </w:r>
            <w:r w:rsidR="00F74A74">
              <w:t xml:space="preserve"> (</w:t>
            </w:r>
            <w:r w:rsidR="009F2CF6">
              <w:t>emotional</w:t>
            </w:r>
            <w:r w:rsidR="00F74A74">
              <w:t xml:space="preserve">/habitual/peer-group </w:t>
            </w:r>
            <w:r w:rsidR="009F2CF6">
              <w:t>preference</w:t>
            </w:r>
            <w:r w:rsidR="00F74A74">
              <w:t xml:space="preserve">s, </w:t>
            </w:r>
            <w:r w:rsidR="009F2CF6">
              <w:t>analysis based on understandin</w:t>
            </w:r>
            <w:r w:rsidR="00F74A74">
              <w:t>g of musical elements/form/style, and time-established</w:t>
            </w:r>
            <w:r w:rsidR="009C4967">
              <w:t xml:space="preserve"> </w:t>
            </w:r>
            <w:r w:rsidR="009F2CF6">
              <w:t>aesth</w:t>
            </w:r>
            <w:r w:rsidR="00F74A74">
              <w:t xml:space="preserve">etic judgements), and to defend their judgments about specific compositions, composers, or styles. </w:t>
            </w:r>
          </w:p>
        </w:tc>
      </w:tr>
      <w:tr w:rsidR="00DE48CF" w:rsidRPr="00E116A1" w:rsidTr="002F1BAD">
        <w:tc>
          <w:tcPr>
            <w:tcW w:w="1345" w:type="dxa"/>
          </w:tcPr>
          <w:p w:rsidR="00DE48CF" w:rsidRPr="00E116A1" w:rsidRDefault="00DE48CF" w:rsidP="002F1BAD">
            <w:pPr>
              <w:rPr>
                <w:b/>
              </w:rPr>
            </w:pPr>
            <w:r w:rsidRPr="00E116A1">
              <w:rPr>
                <w:b/>
              </w:rPr>
              <w:t>Integrate</w:t>
            </w:r>
          </w:p>
        </w:tc>
        <w:tc>
          <w:tcPr>
            <w:tcW w:w="2340" w:type="dxa"/>
          </w:tcPr>
          <w:p w:rsidR="00DE48CF" w:rsidRPr="00E116A1" w:rsidRDefault="00DE48CF" w:rsidP="002F1BAD">
            <w:r w:rsidRPr="00E116A1">
              <w:t>Integrates insight and or reasoning with existing understanding to reach informed conclusions and/or understanding</w:t>
            </w:r>
          </w:p>
        </w:tc>
        <w:tc>
          <w:tcPr>
            <w:tcW w:w="6750" w:type="dxa"/>
          </w:tcPr>
          <w:p w:rsidR="00DE48CF" w:rsidRDefault="00DE48CF" w:rsidP="002F1BAD">
            <w:pPr>
              <w:ind w:left="252" w:hanging="252"/>
            </w:pPr>
            <w:r>
              <w:rPr>
                <w:i/>
              </w:rPr>
              <w:t>Task Type</w:t>
            </w:r>
            <w:r w:rsidR="00E062B2">
              <w:t xml:space="preserve">:  </w:t>
            </w:r>
            <w:r w:rsidR="00076CA9">
              <w:t>Exam listening questions, chapter listening quizzes</w:t>
            </w:r>
            <w:r w:rsidR="008100E1">
              <w:t xml:space="preserve">, concert </w:t>
            </w:r>
            <w:r w:rsidR="00753B8E">
              <w:t>essay</w:t>
            </w:r>
          </w:p>
          <w:p w:rsidR="00DE48CF" w:rsidRDefault="00DE48CF" w:rsidP="002F1BAD">
            <w:pPr>
              <w:ind w:left="252" w:hanging="252"/>
            </w:pPr>
            <w:r>
              <w:rPr>
                <w:i/>
              </w:rPr>
              <w:t>Frequency</w:t>
            </w:r>
            <w:r w:rsidR="008100E1">
              <w:t>:  Listening questions on f</w:t>
            </w:r>
            <w:r w:rsidR="00076CA9">
              <w:t>ive exams</w:t>
            </w:r>
            <w:r w:rsidR="008100E1">
              <w:t>,</w:t>
            </w:r>
            <w:r w:rsidR="00076CA9">
              <w:t xml:space="preserve"> approx. 10-12 chapter listening quizzes</w:t>
            </w:r>
            <w:r w:rsidR="008100E1">
              <w:t xml:space="preserve">, 1-2 concert </w:t>
            </w:r>
            <w:r w:rsidR="00753B8E">
              <w:t>essays</w:t>
            </w:r>
          </w:p>
          <w:p w:rsidR="00DE48CF" w:rsidRDefault="00DE48CF" w:rsidP="002F1BAD">
            <w:pPr>
              <w:ind w:left="252" w:hanging="252"/>
            </w:pPr>
            <w:r>
              <w:rPr>
                <w:i/>
              </w:rPr>
              <w:t>Overall Grading Weight</w:t>
            </w:r>
            <w:r>
              <w:t xml:space="preserve">:  </w:t>
            </w:r>
            <w:r w:rsidR="00831EEB">
              <w:t xml:space="preserve">approximately 10% </w:t>
            </w:r>
          </w:p>
          <w:p w:rsidR="00DE48CF" w:rsidRPr="00E116A1" w:rsidRDefault="00DE48CF" w:rsidP="0002778E">
            <w:r>
              <w:rPr>
                <w:i/>
              </w:rPr>
              <w:t>Expected Proficiency Rate</w:t>
            </w:r>
            <w:r>
              <w:t xml:space="preserve">: 75% </w:t>
            </w:r>
            <w:r w:rsidR="00076CA9">
              <w:t xml:space="preserve">upon completion of the course. </w:t>
            </w:r>
            <w:r w:rsidRPr="00825677">
              <w:rPr>
                <w:i/>
              </w:rPr>
              <w:t>Assessment Plan</w:t>
            </w:r>
            <w:r w:rsidR="008100E1">
              <w:t xml:space="preserve">: Terminology is only useful when it can be applied to real-time musical listening. These tasks </w:t>
            </w:r>
            <w:r w:rsidR="00E062B2">
              <w:t xml:space="preserve">will determine how </w:t>
            </w:r>
            <w:r w:rsidR="008100E1">
              <w:t xml:space="preserve">the </w:t>
            </w:r>
            <w:r w:rsidR="00E062B2">
              <w:t xml:space="preserve">text readings, </w:t>
            </w:r>
            <w:r w:rsidR="00E062B2" w:rsidRPr="000E14AB">
              <w:t>lectures</w:t>
            </w:r>
            <w:r w:rsidR="00E062B2">
              <w:t>, and dis</w:t>
            </w:r>
            <w:r w:rsidR="008100E1">
              <w:t xml:space="preserve">cussion have influenced the </w:t>
            </w:r>
            <w:r w:rsidR="00E062B2">
              <w:t xml:space="preserve">ability to identify musical characteristics </w:t>
            </w:r>
            <w:r w:rsidR="00076CA9">
              <w:t xml:space="preserve">in actual excerpts. </w:t>
            </w:r>
            <w:r w:rsidR="00E062B2">
              <w:t xml:space="preserve">These include </w:t>
            </w:r>
            <w:r w:rsidR="008100E1">
              <w:t xml:space="preserve">style, </w:t>
            </w:r>
            <w:r w:rsidR="00E062B2">
              <w:t>time period, tempo</w:t>
            </w:r>
            <w:r w:rsidR="00E062B2" w:rsidRPr="000E14AB">
              <w:t xml:space="preserve">, dynamics, </w:t>
            </w:r>
            <w:r w:rsidR="00E062B2">
              <w:t>harmony, texture, and form.</w:t>
            </w:r>
          </w:p>
        </w:tc>
      </w:tr>
      <w:tr w:rsidR="00DE48CF" w:rsidRPr="00E116A1" w:rsidTr="002F1BAD">
        <w:tc>
          <w:tcPr>
            <w:tcW w:w="1345" w:type="dxa"/>
          </w:tcPr>
          <w:p w:rsidR="00DE48CF" w:rsidRPr="00E116A1" w:rsidRDefault="00DE48CF" w:rsidP="002F1BAD">
            <w:pPr>
              <w:rPr>
                <w:b/>
              </w:rPr>
            </w:pPr>
            <w:r w:rsidRPr="00E116A1">
              <w:rPr>
                <w:b/>
              </w:rPr>
              <w:lastRenderedPageBreak/>
              <w:t>Evaluate</w:t>
            </w:r>
          </w:p>
        </w:tc>
        <w:tc>
          <w:tcPr>
            <w:tcW w:w="2340" w:type="dxa"/>
          </w:tcPr>
          <w:p w:rsidR="00DE48CF" w:rsidRPr="00E116A1" w:rsidRDefault="00DE48CF" w:rsidP="002F1BAD">
            <w:r w:rsidRPr="00E116A1">
              <w:t>Evaluates information, ideas, and activities according to established principles and guidelines</w:t>
            </w:r>
          </w:p>
        </w:tc>
        <w:tc>
          <w:tcPr>
            <w:tcW w:w="6750" w:type="dxa"/>
          </w:tcPr>
          <w:p w:rsidR="00DE48CF" w:rsidRDefault="00DE48CF" w:rsidP="002F1BAD">
            <w:pPr>
              <w:ind w:left="252" w:hanging="252"/>
            </w:pPr>
            <w:r>
              <w:rPr>
                <w:i/>
              </w:rPr>
              <w:t>Task Type</w:t>
            </w:r>
            <w:r>
              <w:t xml:space="preserve">:  </w:t>
            </w:r>
            <w:r w:rsidR="00D03185">
              <w:t xml:space="preserve">Concert </w:t>
            </w:r>
            <w:r w:rsidR="00753B8E">
              <w:t>essay</w:t>
            </w:r>
            <w:r w:rsidR="008100E1">
              <w:t>(s)</w:t>
            </w:r>
            <w:r w:rsidR="00D03185">
              <w:t xml:space="preserve"> and t</w:t>
            </w:r>
            <w:r w:rsidR="00076CA9">
              <w:t>erm Paper</w:t>
            </w:r>
          </w:p>
          <w:p w:rsidR="00DE48CF" w:rsidRDefault="00DE48CF" w:rsidP="002F1BAD">
            <w:pPr>
              <w:ind w:left="252" w:hanging="252"/>
            </w:pPr>
            <w:r>
              <w:rPr>
                <w:i/>
              </w:rPr>
              <w:t>Frequency</w:t>
            </w:r>
            <w:r>
              <w:t xml:space="preserve">:  </w:t>
            </w:r>
            <w:r w:rsidR="0002778E">
              <w:t xml:space="preserve">Paper at end </w:t>
            </w:r>
            <w:r w:rsidR="008100E1">
              <w:t>of semester</w:t>
            </w:r>
            <w:r w:rsidR="007436FA">
              <w:t xml:space="preserve"> following reviewed draft(s), 1-2 reviews at various times</w:t>
            </w:r>
          </w:p>
          <w:p w:rsidR="00DE48CF" w:rsidRDefault="00DE48CF" w:rsidP="002F1BAD">
            <w:pPr>
              <w:ind w:left="252" w:hanging="252"/>
            </w:pPr>
            <w:r>
              <w:rPr>
                <w:i/>
              </w:rPr>
              <w:t>Overall Grading Weight</w:t>
            </w:r>
            <w:r w:rsidR="008100E1">
              <w:t xml:space="preserve">: </w:t>
            </w:r>
            <w:r w:rsidR="00831EEB">
              <w:t>approximately 20</w:t>
            </w:r>
            <w:r>
              <w:t>%</w:t>
            </w:r>
          </w:p>
          <w:p w:rsidR="008100E1" w:rsidRDefault="00DE48CF" w:rsidP="008100E1">
            <w:r>
              <w:rPr>
                <w:i/>
              </w:rPr>
              <w:t>Expected Proficiency Rate</w:t>
            </w:r>
            <w:r>
              <w:t xml:space="preserve">: 75% </w:t>
            </w:r>
          </w:p>
          <w:p w:rsidR="00DE48CF" w:rsidRPr="00E116A1" w:rsidRDefault="00DE48CF" w:rsidP="00BA36B3">
            <w:r w:rsidRPr="00825677">
              <w:rPr>
                <w:i/>
              </w:rPr>
              <w:t>Assessment Plan</w:t>
            </w:r>
            <w:r w:rsidR="008100E1">
              <w:t>: Written assignments will permit assessment of the student’s ability to evaluate</w:t>
            </w:r>
            <w:r w:rsidR="00BA36B3">
              <w:t xml:space="preserve"> their own</w:t>
            </w:r>
            <w:r w:rsidR="008100E1">
              <w:t xml:space="preserve"> musical experiences</w:t>
            </w:r>
            <w:r w:rsidR="00BA36B3">
              <w:t xml:space="preserve"> in the concert hall and to write coherently about a selected topic. Since the course is designed to lay a foundation for the music history sequence, proper bibliographic style and form will be evaluated as well as the content.</w:t>
            </w:r>
          </w:p>
        </w:tc>
      </w:tr>
    </w:tbl>
    <w:p w:rsidR="00F6033A" w:rsidRDefault="00F6033A"/>
    <w:p w:rsidR="00DE239C" w:rsidRPr="007A65D6" w:rsidRDefault="00DE239C" w:rsidP="007436FA">
      <w:pPr>
        <w:jc w:val="center"/>
        <w:rPr>
          <w:b/>
        </w:rPr>
      </w:pPr>
      <w:r w:rsidRPr="007A65D6">
        <w:rPr>
          <w:b/>
        </w:rPr>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2F1BAD">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3377D2" w:rsidRDefault="00BA36B3" w:rsidP="003377D2">
            <w:r>
              <w:t xml:space="preserve">Task Type: </w:t>
            </w:r>
            <w:r w:rsidR="003201CC">
              <w:t xml:space="preserve">Exams, quizzes, concert </w:t>
            </w:r>
            <w:r w:rsidR="00753B8E">
              <w:t>essay</w:t>
            </w:r>
            <w:r w:rsidR="0002778E">
              <w:t>(s)</w:t>
            </w:r>
            <w:r w:rsidR="003201CC">
              <w:t xml:space="preserve">, </w:t>
            </w:r>
            <w:r w:rsidR="0002778E">
              <w:t xml:space="preserve">term </w:t>
            </w:r>
            <w:r w:rsidR="003201CC">
              <w:t>paper</w:t>
            </w:r>
          </w:p>
          <w:p w:rsidR="00BA36B3" w:rsidRDefault="00BA36B3" w:rsidP="003377D2">
            <w:r>
              <w:t>Frequency:</w:t>
            </w:r>
            <w:r w:rsidR="003201CC">
              <w:t xml:space="preserve"> Five exams, 10-15 chapter quizzes, 1-2 concert reviews, one term paper</w:t>
            </w:r>
          </w:p>
          <w:p w:rsidR="00BA36B3" w:rsidRDefault="00BA36B3" w:rsidP="003377D2">
            <w:r>
              <w:t xml:space="preserve">Overall Grading Weight: </w:t>
            </w:r>
            <w:r w:rsidR="00831EEB">
              <w:t>approximately 30%</w:t>
            </w:r>
          </w:p>
          <w:p w:rsidR="00BA36B3" w:rsidRDefault="00BA36B3" w:rsidP="003377D2">
            <w:r>
              <w:t>Expected Proficiency Rate:</w:t>
            </w:r>
            <w:r w:rsidR="003201CC">
              <w:t xml:space="preserve"> 75%</w:t>
            </w:r>
          </w:p>
          <w:p w:rsidR="00BA36B3" w:rsidRPr="00AE7775" w:rsidRDefault="00BA36B3" w:rsidP="007436FA">
            <w:r>
              <w:t>Assessment Plan:</w:t>
            </w:r>
            <w:r w:rsidR="003201CC">
              <w:t xml:space="preserve"> </w:t>
            </w:r>
            <w:r w:rsidR="0002778E">
              <w:t xml:space="preserve">The </w:t>
            </w:r>
            <w:r w:rsidR="007436FA">
              <w:t>primary goal</w:t>
            </w:r>
            <w:r w:rsidR="0002778E">
              <w:t xml:space="preserve"> of </w:t>
            </w:r>
            <w:r w:rsidR="007436FA">
              <w:t xml:space="preserve">all class activities and assignments will be to develop awareness of the </w:t>
            </w:r>
            <w:r w:rsidR="0002778E">
              <w:t>vital place of the arts in human culture</w:t>
            </w:r>
            <w:r w:rsidR="007436FA">
              <w:t xml:space="preserve">. While music will be the primary expression studied, parallel developments in other aesthetic areas will be noted. Exam questions will be designed to probe understanding and comprehension of this basic goal. Written reviews and papers will provide further evidence of learning. </w:t>
            </w:r>
          </w:p>
        </w:tc>
      </w:tr>
      <w:tr w:rsidR="003377D2" w:rsidRPr="00AE7775" w:rsidTr="002F1BAD">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753B8E" w:rsidRDefault="00BA36B3" w:rsidP="00BA36B3">
            <w:r>
              <w:t>Task Type:</w:t>
            </w:r>
            <w:r w:rsidR="007436FA">
              <w:t xml:space="preserve"> </w:t>
            </w:r>
            <w:r w:rsidR="00753B8E">
              <w:t>C</w:t>
            </w:r>
            <w:r w:rsidR="007436FA">
              <w:t xml:space="preserve">oncert </w:t>
            </w:r>
            <w:r w:rsidR="00753B8E">
              <w:t>essays</w:t>
            </w:r>
            <w:r w:rsidR="007436FA">
              <w:t xml:space="preserve"> and term pa</w:t>
            </w:r>
            <w:r w:rsidR="00753B8E">
              <w:t xml:space="preserve">per </w:t>
            </w:r>
          </w:p>
          <w:p w:rsidR="00BA36B3" w:rsidRDefault="00BA36B3" w:rsidP="00BA36B3">
            <w:r>
              <w:t>Frequency:</w:t>
            </w:r>
            <w:r w:rsidR="007436FA">
              <w:t xml:space="preserve"> one term paper, 1-2 concert reviews</w:t>
            </w:r>
          </w:p>
          <w:p w:rsidR="00067E77" w:rsidRDefault="00BA36B3" w:rsidP="00BA36B3">
            <w:r>
              <w:t xml:space="preserve">Overall Grading Weight: </w:t>
            </w:r>
            <w:r w:rsidR="00831EEB">
              <w:t>approximately 15</w:t>
            </w:r>
            <w:r w:rsidR="003201CC">
              <w:t>%</w:t>
            </w:r>
            <w:r w:rsidR="002F1BAD">
              <w:t xml:space="preserve"> </w:t>
            </w:r>
          </w:p>
          <w:p w:rsidR="00BA36B3" w:rsidRPr="009D6B17" w:rsidRDefault="007539DF" w:rsidP="00BA36B3">
            <w:r>
              <w:t xml:space="preserve"> </w:t>
            </w:r>
            <w:r w:rsidR="00BA36B3">
              <w:t>Expected Proficiency Rate:</w:t>
            </w:r>
            <w:r w:rsidR="009D6B17">
              <w:t xml:space="preserve"> 60</w:t>
            </w:r>
            <w:r w:rsidR="0002778E">
              <w:t>%</w:t>
            </w:r>
            <w:r w:rsidR="009D6B17">
              <w:t xml:space="preserve"> The somewhat lower expected success rate is a reflection of the difficulty of reaching and evaluating actual musical </w:t>
            </w:r>
            <w:r w:rsidR="009D6B17">
              <w:rPr>
                <w:i/>
              </w:rPr>
              <w:t>creativity</w:t>
            </w:r>
            <w:r w:rsidR="009D6B17">
              <w:t xml:space="preserve"> within a single course without prior experience</w:t>
            </w:r>
          </w:p>
          <w:p w:rsidR="003377D2" w:rsidRPr="00AE7775" w:rsidRDefault="00BA36B3" w:rsidP="007436FA">
            <w:r>
              <w:lastRenderedPageBreak/>
              <w:t>Assessment Plan:</w:t>
            </w:r>
            <w:r w:rsidR="007436FA">
              <w:t xml:space="preserve"> Evidence of increased aesthetic awareness will be sought primarily in the written responses found in the term paper and concert reviews. </w:t>
            </w:r>
          </w:p>
        </w:tc>
      </w:tr>
      <w:tr w:rsidR="003377D2" w:rsidRPr="00AE7775" w:rsidTr="002F1BAD">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BA36B3" w:rsidRDefault="00BA36B3" w:rsidP="00BA36B3">
            <w:r>
              <w:t xml:space="preserve">Task Type: </w:t>
            </w:r>
            <w:r w:rsidR="002D0403">
              <w:t>T</w:t>
            </w:r>
            <w:r w:rsidR="0002778E">
              <w:t xml:space="preserve">erm paper, concert review(s), </w:t>
            </w:r>
            <w:r w:rsidR="002D0403">
              <w:t>Exam questions</w:t>
            </w:r>
          </w:p>
          <w:p w:rsidR="0002778E" w:rsidRDefault="00BA36B3" w:rsidP="00BA36B3">
            <w:r>
              <w:t>Frequency:</w:t>
            </w:r>
            <w:r w:rsidR="0002778E">
              <w:t xml:space="preserve"> one paper, 1-2 reviews</w:t>
            </w:r>
          </w:p>
          <w:p w:rsidR="00BA36B3" w:rsidRDefault="0002778E" w:rsidP="00BA36B3">
            <w:r>
              <w:t>Overall Grading Weight: 2</w:t>
            </w:r>
            <w:r w:rsidR="00BA36B3">
              <w:t>0</w:t>
            </w:r>
            <w:r>
              <w:t>%</w:t>
            </w:r>
          </w:p>
          <w:p w:rsidR="00BA36B3" w:rsidRDefault="00BA36B3" w:rsidP="00BA36B3">
            <w:r>
              <w:t>Expected Proficiency Rate:</w:t>
            </w:r>
            <w:r w:rsidR="0002778E">
              <w:t xml:space="preserve"> 75%</w:t>
            </w:r>
          </w:p>
          <w:p w:rsidR="003377D2" w:rsidRPr="00AE7775" w:rsidRDefault="00BA36B3" w:rsidP="002D0403">
            <w:r>
              <w:t>Assessment Plan:</w:t>
            </w:r>
            <w:r w:rsidR="007436FA">
              <w:t xml:space="preserve"> </w:t>
            </w:r>
            <w:r w:rsidR="002D0403">
              <w:rPr>
                <w:rFonts w:eastAsia="Times New Roman" w:cs="Times New Roman"/>
              </w:rPr>
              <w:t xml:space="preserve">Throughout the course, students will be asked to consider basic aesthetic questions that involve contradiction or paradox, such as: What is beautiful? Are there useful standards for evaluating the intrinsic worth of a piece of art or music? </w:t>
            </w:r>
            <w:r w:rsidR="002D0403">
              <w:t xml:space="preserve">To some extent, exam questions can test awareness of these questions, but evidence will mostly appear in the written paper and concert reviews.  </w:t>
            </w:r>
          </w:p>
        </w:tc>
      </w:tr>
    </w:tbl>
    <w:p w:rsidR="007A65D6" w:rsidRDefault="007A65D6"/>
    <w:sectPr w:rsid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11" w:rsidRDefault="00D72211" w:rsidP="00997CF2">
      <w:pPr>
        <w:spacing w:after="0" w:line="240" w:lineRule="auto"/>
      </w:pPr>
      <w:r>
        <w:separator/>
      </w:r>
    </w:p>
  </w:endnote>
  <w:endnote w:type="continuationSeparator" w:id="0">
    <w:p w:rsidR="00D72211" w:rsidRDefault="00D7221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2F1BAD" w:rsidRDefault="002F1BAD">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F1BAD" w:rsidRDefault="002F1BAD">
        <w:pPr>
          <w:pStyle w:val="Footer"/>
          <w:jc w:val="center"/>
        </w:pPr>
        <w:r>
          <w:fldChar w:fldCharType="begin"/>
        </w:r>
        <w:r>
          <w:instrText xml:space="preserve"> PAGE    \* MERGEFORMAT </w:instrText>
        </w:r>
        <w:r>
          <w:fldChar w:fldCharType="separate"/>
        </w:r>
        <w:r w:rsidR="00D0263A">
          <w:rPr>
            <w:noProof/>
          </w:rPr>
          <w:t>1</w:t>
        </w:r>
        <w:r>
          <w:rPr>
            <w:noProof/>
          </w:rPr>
          <w:fldChar w:fldCharType="end"/>
        </w:r>
      </w:p>
    </w:sdtContent>
  </w:sdt>
  <w:p w:rsidR="002F1BAD" w:rsidRDefault="002F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11" w:rsidRDefault="00D72211" w:rsidP="00997CF2">
      <w:pPr>
        <w:spacing w:after="0" w:line="240" w:lineRule="auto"/>
      </w:pPr>
      <w:r>
        <w:separator/>
      </w:r>
    </w:p>
  </w:footnote>
  <w:footnote w:type="continuationSeparator" w:id="0">
    <w:p w:rsidR="00D72211" w:rsidRDefault="00D72211"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AD" w:rsidRDefault="00D0263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F1BAD">
          <w:rPr>
            <w:color w:val="5B9BD5" w:themeColor="accent1"/>
          </w:rPr>
          <w:t>GEC approval date</w:t>
        </w:r>
      </w:sdtContent>
    </w:sdt>
    <w:r w:rsidR="002F1BAD">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F1BAD">
          <w:rPr>
            <w:color w:val="5B9BD5" w:themeColor="accent1"/>
          </w:rPr>
          <w:t>8/28/14</w:t>
        </w:r>
      </w:sdtContent>
    </w:sdt>
  </w:p>
  <w:p w:rsidR="002F1BAD" w:rsidRDefault="002F1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0DED"/>
    <w:rsid w:val="0002778E"/>
    <w:rsid w:val="00035597"/>
    <w:rsid w:val="00067E77"/>
    <w:rsid w:val="00072E68"/>
    <w:rsid w:val="00076CA9"/>
    <w:rsid w:val="00121A29"/>
    <w:rsid w:val="00147F10"/>
    <w:rsid w:val="001E4C03"/>
    <w:rsid w:val="001F6114"/>
    <w:rsid w:val="001F6AAC"/>
    <w:rsid w:val="00220FA2"/>
    <w:rsid w:val="002349A4"/>
    <w:rsid w:val="00245754"/>
    <w:rsid w:val="00277EC9"/>
    <w:rsid w:val="002A6EA2"/>
    <w:rsid w:val="002D0403"/>
    <w:rsid w:val="002D1877"/>
    <w:rsid w:val="002F1BAD"/>
    <w:rsid w:val="003201CC"/>
    <w:rsid w:val="00327C70"/>
    <w:rsid w:val="003377D2"/>
    <w:rsid w:val="00353A8C"/>
    <w:rsid w:val="003552BD"/>
    <w:rsid w:val="003709FD"/>
    <w:rsid w:val="003950D7"/>
    <w:rsid w:val="003A04BF"/>
    <w:rsid w:val="003C2429"/>
    <w:rsid w:val="00432BAE"/>
    <w:rsid w:val="00480EDA"/>
    <w:rsid w:val="004936B1"/>
    <w:rsid w:val="004A3ABB"/>
    <w:rsid w:val="004B001A"/>
    <w:rsid w:val="004D5078"/>
    <w:rsid w:val="00531A8E"/>
    <w:rsid w:val="005556D1"/>
    <w:rsid w:val="005B2CA6"/>
    <w:rsid w:val="0068640A"/>
    <w:rsid w:val="006A3B6D"/>
    <w:rsid w:val="006C3D57"/>
    <w:rsid w:val="00713756"/>
    <w:rsid w:val="00735300"/>
    <w:rsid w:val="007436FA"/>
    <w:rsid w:val="00753348"/>
    <w:rsid w:val="007539DF"/>
    <w:rsid w:val="00753B8E"/>
    <w:rsid w:val="007737F6"/>
    <w:rsid w:val="007A65D6"/>
    <w:rsid w:val="007B2EAF"/>
    <w:rsid w:val="007E02E0"/>
    <w:rsid w:val="008100E1"/>
    <w:rsid w:val="00831EEB"/>
    <w:rsid w:val="0083776F"/>
    <w:rsid w:val="00845EB2"/>
    <w:rsid w:val="008929C7"/>
    <w:rsid w:val="008B699B"/>
    <w:rsid w:val="008C6A04"/>
    <w:rsid w:val="008C7BD6"/>
    <w:rsid w:val="00901A5C"/>
    <w:rsid w:val="00997CF2"/>
    <w:rsid w:val="009C4967"/>
    <w:rsid w:val="009D61F2"/>
    <w:rsid w:val="009D6B17"/>
    <w:rsid w:val="009F2CF6"/>
    <w:rsid w:val="00A7492E"/>
    <w:rsid w:val="00AE7775"/>
    <w:rsid w:val="00B514D5"/>
    <w:rsid w:val="00B81179"/>
    <w:rsid w:val="00B935E2"/>
    <w:rsid w:val="00BA17C7"/>
    <w:rsid w:val="00BA36B3"/>
    <w:rsid w:val="00BD0B44"/>
    <w:rsid w:val="00BD5CE3"/>
    <w:rsid w:val="00C12321"/>
    <w:rsid w:val="00C4704A"/>
    <w:rsid w:val="00C56A90"/>
    <w:rsid w:val="00C61F73"/>
    <w:rsid w:val="00C63F16"/>
    <w:rsid w:val="00CC1F2B"/>
    <w:rsid w:val="00D0263A"/>
    <w:rsid w:val="00D03185"/>
    <w:rsid w:val="00D15DEB"/>
    <w:rsid w:val="00D5309E"/>
    <w:rsid w:val="00D72211"/>
    <w:rsid w:val="00D97599"/>
    <w:rsid w:val="00DA69ED"/>
    <w:rsid w:val="00DD35B6"/>
    <w:rsid w:val="00DE239C"/>
    <w:rsid w:val="00DE48CF"/>
    <w:rsid w:val="00E062B2"/>
    <w:rsid w:val="00E0650D"/>
    <w:rsid w:val="00E7742A"/>
    <w:rsid w:val="00EE538D"/>
    <w:rsid w:val="00F12346"/>
    <w:rsid w:val="00F13192"/>
    <w:rsid w:val="00F6033A"/>
    <w:rsid w:val="00F74A74"/>
    <w:rsid w:val="00F77245"/>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7E02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7E02E0"/>
    <w:rPr>
      <w:color w:val="0563C1" w:themeColor="hyperlink"/>
      <w:u w:val="single"/>
    </w:rPr>
  </w:style>
  <w:style w:type="character" w:customStyle="1" w:styleId="Heading1Char">
    <w:name w:val="Heading 1 Char"/>
    <w:basedOn w:val="DefaultParagraphFont"/>
    <w:link w:val="Heading1"/>
    <w:uiPriority w:val="9"/>
    <w:rsid w:val="007E02E0"/>
    <w:rPr>
      <w:b/>
    </w:rPr>
  </w:style>
  <w:style w:type="paragraph" w:styleId="BalloonText">
    <w:name w:val="Balloon Text"/>
    <w:basedOn w:val="Normal"/>
    <w:link w:val="BalloonTextChar"/>
    <w:uiPriority w:val="99"/>
    <w:semiHidden/>
    <w:unhideWhenUsed/>
    <w:rsid w:val="008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vicker@nm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
      <w:docPartPr>
        <w:name w:val="295A09DBA35D49DC809CB5C519CA1D0A"/>
        <w:category>
          <w:name w:val="General"/>
          <w:gallery w:val="placeholder"/>
        </w:category>
        <w:types>
          <w:type w:val="bbPlcHdr"/>
        </w:types>
        <w:behaviors>
          <w:behavior w:val="content"/>
        </w:behaviors>
        <w:guid w:val="{DA5B0D0D-F0D6-4603-AA78-480FFCA8CF1E}"/>
      </w:docPartPr>
      <w:docPartBody>
        <w:p w:rsidR="003F4356" w:rsidRDefault="00BA37AC" w:rsidP="00BA37AC">
          <w:pPr>
            <w:pStyle w:val="295A09DBA35D49DC809CB5C519CA1D0A"/>
          </w:pPr>
          <w:r w:rsidRPr="00E45EC6">
            <w:rPr>
              <w:szCs w:val="24"/>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211791"/>
    <w:rsid w:val="003049F1"/>
    <w:rsid w:val="003574B6"/>
    <w:rsid w:val="003F4356"/>
    <w:rsid w:val="00435950"/>
    <w:rsid w:val="0055090C"/>
    <w:rsid w:val="00613CFA"/>
    <w:rsid w:val="006B0EF7"/>
    <w:rsid w:val="007D2B32"/>
    <w:rsid w:val="00887EC9"/>
    <w:rsid w:val="00BA37AC"/>
    <w:rsid w:val="00BF00D0"/>
    <w:rsid w:val="00D621B8"/>
    <w:rsid w:val="00F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 w:type="paragraph" w:customStyle="1" w:styleId="295A09DBA35D49DC809CB5C519CA1D0A">
    <w:name w:val="295A09DBA35D49DC809CB5C519CA1D0A"/>
    <w:rsid w:val="00BA3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Rachel Anderson</cp:lastModifiedBy>
  <cp:revision>2</cp:revision>
  <cp:lastPrinted>2019-02-08T16:00:00Z</cp:lastPrinted>
  <dcterms:created xsi:type="dcterms:W3CDTF">2020-07-01T17:53:00Z</dcterms:created>
  <dcterms:modified xsi:type="dcterms:W3CDTF">2020-07-01T17:53:00Z</dcterms:modified>
</cp:coreProperties>
</file>