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560388" w:rsidRPr="00980214" w:rsidRDefault="00560388" w:rsidP="00560388">
      <w:r w:rsidRPr="007A65D6">
        <w:rPr>
          <w:b/>
        </w:rPr>
        <w:t>Course Name and Number:</w:t>
      </w:r>
      <w:r>
        <w:rPr>
          <w:b/>
        </w:rPr>
        <w:t xml:space="preserve"> </w:t>
      </w:r>
      <w:r>
        <w:rPr>
          <w:b/>
        </w:rPr>
        <w:tab/>
      </w:r>
      <w:r>
        <w:rPr>
          <w:b/>
        </w:rPr>
        <w:tab/>
      </w:r>
      <w:r w:rsidR="002244BE">
        <w:t>Spanish</w:t>
      </w:r>
      <w:r w:rsidR="006E4AE9">
        <w:t xml:space="preserve"> 301: Advanced </w:t>
      </w:r>
      <w:r w:rsidR="00445772">
        <w:t>Spanish</w:t>
      </w:r>
      <w:r w:rsidR="006E4AE9">
        <w:t xml:space="preserve"> I</w:t>
      </w:r>
    </w:p>
    <w:p w:rsidR="00560388" w:rsidRPr="00980214" w:rsidRDefault="00560388" w:rsidP="00560388">
      <w:r w:rsidRPr="007A65D6">
        <w:rPr>
          <w:b/>
        </w:rPr>
        <w:t>Home Department:</w:t>
      </w:r>
      <w:r>
        <w:rPr>
          <w:b/>
        </w:rPr>
        <w:tab/>
      </w:r>
      <w:r>
        <w:rPr>
          <w:b/>
        </w:rPr>
        <w:tab/>
      </w:r>
      <w:r>
        <w:rPr>
          <w:b/>
        </w:rPr>
        <w:tab/>
      </w:r>
      <w:r>
        <w:t>Department of Modern Languages and Literatures</w:t>
      </w:r>
    </w:p>
    <w:p w:rsidR="00560388" w:rsidRDefault="00560388" w:rsidP="00560388">
      <w:r w:rsidRPr="007A65D6">
        <w:rPr>
          <w:b/>
        </w:rPr>
        <w:t>Department Chair Name and Contact Information</w:t>
      </w:r>
      <w:r>
        <w:t xml:space="preserve"> (phone, email):</w:t>
      </w:r>
    </w:p>
    <w:p w:rsidR="00560388" w:rsidRDefault="00560388" w:rsidP="00560388">
      <w:r>
        <w:tab/>
        <w:t>Tim Compton</w:t>
      </w:r>
      <w:r>
        <w:tab/>
      </w:r>
      <w:r>
        <w:tab/>
      </w:r>
      <w:hyperlink r:id="rId7" w:history="1">
        <w:r w:rsidRPr="000C0960">
          <w:rPr>
            <w:rStyle w:val="Hyperlink"/>
          </w:rPr>
          <w:t>tcompton@nmu.edu</w:t>
        </w:r>
      </w:hyperlink>
      <w:r>
        <w:tab/>
      </w:r>
      <w:r>
        <w:tab/>
        <w:t>x1107</w:t>
      </w:r>
    </w:p>
    <w:p w:rsidR="00560388" w:rsidRDefault="00560388" w:rsidP="00560388">
      <w:r w:rsidRPr="007A65D6">
        <w:rPr>
          <w:b/>
        </w:rPr>
        <w:t>Expected frequency of Offering of the course</w:t>
      </w:r>
      <w:r>
        <w:t xml:space="preserve"> (e.g. every semester, every fall):  Every </w:t>
      </w:r>
      <w:r w:rsidR="006E4AE9">
        <w:t>fall</w:t>
      </w:r>
    </w:p>
    <w:p w:rsidR="00560388" w:rsidRDefault="00560388" w:rsidP="00560388">
      <w:r w:rsidRPr="00DE239C">
        <w:rPr>
          <w:b/>
        </w:rPr>
        <w:t>Official Course Status</w:t>
      </w:r>
      <w:r>
        <w:t xml:space="preserve">: Has this course been approved by CUP and Senate?  </w:t>
      </w:r>
      <w:r>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F05048" w:rsidRDefault="00F05048" w:rsidP="00F05048">
      <w:pPr>
        <w:rPr>
          <w:b/>
        </w:rPr>
      </w:pPr>
      <w:r w:rsidRPr="003974D7">
        <w:rPr>
          <w:b/>
        </w:rPr>
        <w:t>A. Overview of the course content</w:t>
      </w:r>
    </w:p>
    <w:p w:rsidR="00F05048" w:rsidRPr="003974D7" w:rsidRDefault="002244BE" w:rsidP="00F05048">
      <w:r>
        <w:t>An advanced course which serves to enhance students’ knowledge of Spanish grammar, as well as improve their competencies in speaking, listening, and writing</w:t>
      </w:r>
      <w:r w:rsidR="00157C07">
        <w:t>.</w:t>
      </w:r>
    </w:p>
    <w:p w:rsidR="00F05048" w:rsidRDefault="00F05048" w:rsidP="00F05048">
      <w:pPr>
        <w:rPr>
          <w:b/>
        </w:rPr>
      </w:pPr>
      <w:r w:rsidRPr="003974D7">
        <w:rPr>
          <w:b/>
        </w:rPr>
        <w:t xml:space="preserve">B. Explain why this course satisfies the Component specified and significantly addresses both learning outcomes </w:t>
      </w:r>
    </w:p>
    <w:p w:rsidR="00F97001" w:rsidRPr="00F97001" w:rsidRDefault="00F97001" w:rsidP="00F97001">
      <w:pPr>
        <w:rPr>
          <w:color w:val="FF0000"/>
        </w:rPr>
      </w:pPr>
      <w:r w:rsidRPr="00F97001">
        <w:rPr>
          <w:color w:val="FF0000"/>
        </w:rPr>
        <w:t>Students practice the four language skills essential for communication: reading, writing, speaking, and listening. Students work with the course materials and learn how to respond critically to new ideas, figure out new words from context, engage in discussion with people around them, and convey insights or information that they have acquired—all in Spanish. By the end of the semester, students have significantly improved their ability to communicate in an effective and sophisticated manner, and have encountered numerous opportunities to integrate and evaluate new perspectives and knowledge.</w:t>
      </w:r>
    </w:p>
    <w:p w:rsidR="003E2B12" w:rsidRPr="00EA3A1F" w:rsidRDefault="003E2B12" w:rsidP="003E2B12">
      <w:pPr>
        <w:rPr>
          <w:b/>
        </w:rPr>
      </w:pPr>
      <w:r w:rsidRPr="00EA3A1F">
        <w:rPr>
          <w:b/>
        </w:rPr>
        <w:t xml:space="preserve">C. Describe the target audience (level, student groups, etc.) </w:t>
      </w:r>
    </w:p>
    <w:p w:rsidR="003E2B12" w:rsidRPr="005B2CA6" w:rsidRDefault="003E2B12" w:rsidP="003E2B12">
      <w:r>
        <w:t>This is an advanced-level course intended mainly for Spanish majors and minors.</w:t>
      </w:r>
    </w:p>
    <w:p w:rsidR="003E2B12" w:rsidRPr="00EA3A1F" w:rsidRDefault="003E2B12" w:rsidP="003E2B12">
      <w:pPr>
        <w:rPr>
          <w:b/>
        </w:rPr>
      </w:pPr>
      <w:r w:rsidRPr="00EA3A1F">
        <w:rPr>
          <w:b/>
        </w:rPr>
        <w:lastRenderedPageBreak/>
        <w:t xml:space="preserve">D. Give information on other roles this course may serve (e.g. University Requirement, required for a major(s), etc.) </w:t>
      </w:r>
    </w:p>
    <w:p w:rsidR="00751263" w:rsidRDefault="003E2B12" w:rsidP="007974F8">
      <w:r>
        <w:t>This course is required for all majors and minors in Spanish.</w:t>
      </w:r>
    </w:p>
    <w:p w:rsidR="007A65D6" w:rsidRPr="00751263" w:rsidRDefault="007A65D6" w:rsidP="007974F8">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1"/>
        <w:gridCol w:w="2238"/>
        <w:gridCol w:w="6111"/>
      </w:tblGrid>
      <w:tr w:rsidR="007A65D6" w:rsidTr="003A46CC">
        <w:tc>
          <w:tcPr>
            <w:tcW w:w="1344" w:type="dxa"/>
          </w:tcPr>
          <w:p w:rsidR="007A65D6" w:rsidRPr="00AE7775" w:rsidRDefault="00AE7775">
            <w:pPr>
              <w:rPr>
                <w:b/>
              </w:rPr>
            </w:pPr>
            <w:r w:rsidRPr="00AE7775">
              <w:rPr>
                <w:b/>
              </w:rPr>
              <w:t>DIMENSION</w:t>
            </w:r>
          </w:p>
        </w:tc>
        <w:tc>
          <w:tcPr>
            <w:tcW w:w="2320" w:type="dxa"/>
          </w:tcPr>
          <w:p w:rsidR="007A65D6" w:rsidRPr="00AE7775" w:rsidRDefault="00EF2633">
            <w:pPr>
              <w:rPr>
                <w:b/>
              </w:rPr>
            </w:pPr>
            <w:r>
              <w:rPr>
                <w:b/>
              </w:rPr>
              <w:t>WHAT IS BEING ASSESSED</w:t>
            </w:r>
          </w:p>
        </w:tc>
        <w:tc>
          <w:tcPr>
            <w:tcW w:w="6622" w:type="dxa"/>
          </w:tcPr>
          <w:p w:rsidR="007A65D6" w:rsidRPr="00AE7775" w:rsidRDefault="00AE7775">
            <w:pPr>
              <w:rPr>
                <w:b/>
              </w:rPr>
            </w:pPr>
            <w:r w:rsidRPr="00AE7775">
              <w:rPr>
                <w:b/>
              </w:rPr>
              <w:t>PLAN FOR ASSESSMENT</w:t>
            </w:r>
          </w:p>
        </w:tc>
      </w:tr>
      <w:tr w:rsidR="003A46CC" w:rsidTr="00C34F82">
        <w:trPr>
          <w:trHeight w:val="2427"/>
        </w:trPr>
        <w:tc>
          <w:tcPr>
            <w:tcW w:w="1344" w:type="dxa"/>
          </w:tcPr>
          <w:p w:rsidR="003A46CC" w:rsidRPr="00AE7775" w:rsidRDefault="003A46CC">
            <w:pPr>
              <w:rPr>
                <w:b/>
              </w:rPr>
            </w:pPr>
            <w:r w:rsidRPr="00AE7775">
              <w:rPr>
                <w:b/>
              </w:rPr>
              <w:t>Evidence</w:t>
            </w:r>
          </w:p>
        </w:tc>
        <w:tc>
          <w:tcPr>
            <w:tcW w:w="2320" w:type="dxa"/>
          </w:tcPr>
          <w:p w:rsidR="003A46CC" w:rsidRDefault="003A46CC">
            <w:r w:rsidRPr="007A65D6">
              <w:t>Assesses quality of information that may be integrated into an argument</w:t>
            </w:r>
          </w:p>
        </w:tc>
        <w:tc>
          <w:tcPr>
            <w:tcW w:w="6622" w:type="dxa"/>
            <w:vMerge w:val="restart"/>
          </w:tcPr>
          <w:p w:rsidR="003A46CC" w:rsidRPr="000D37A8" w:rsidRDefault="003A46CC" w:rsidP="0062041C">
            <w:pPr>
              <w:tabs>
                <w:tab w:val="left" w:pos="168"/>
              </w:tabs>
              <w:rPr>
                <w:color w:val="FF0000"/>
              </w:rPr>
            </w:pPr>
            <w:r w:rsidRPr="003A46CC">
              <w:rPr>
                <w:i/>
                <w:u w:val="single"/>
              </w:rPr>
              <w:t>Task Type</w:t>
            </w:r>
            <w:r w:rsidRPr="003A46CC">
              <w:rPr>
                <w:i/>
              </w:rPr>
              <w:t>:</w:t>
            </w:r>
            <w:r w:rsidRPr="003A46CC">
              <w:t xml:space="preserve"> </w:t>
            </w:r>
            <w:r>
              <w:t>Written assignments</w:t>
            </w:r>
            <w:r w:rsidR="000D37A8">
              <w:t xml:space="preserve"> </w:t>
            </w:r>
            <w:r w:rsidR="000D37A8">
              <w:rPr>
                <w:color w:val="FF0000"/>
              </w:rPr>
              <w:t>that will involve the assessment of the quality of information</w:t>
            </w:r>
          </w:p>
          <w:p w:rsidR="003A46CC" w:rsidRPr="003A46CC" w:rsidRDefault="003A46CC" w:rsidP="0062041C">
            <w:pPr>
              <w:tabs>
                <w:tab w:val="left" w:pos="168"/>
              </w:tabs>
            </w:pPr>
            <w:r w:rsidRPr="003A46CC">
              <w:rPr>
                <w:i/>
                <w:u w:val="single"/>
              </w:rPr>
              <w:t>Frequency</w:t>
            </w:r>
            <w:r w:rsidRPr="003A46CC">
              <w:rPr>
                <w:i/>
              </w:rPr>
              <w:t>:</w:t>
            </w:r>
            <w:r w:rsidRPr="003A46CC">
              <w:t xml:space="preserve">  </w:t>
            </w:r>
            <w:r w:rsidR="0051283D">
              <w:t>approximately two-</w:t>
            </w:r>
            <w:r>
              <w:t>four times per semester</w:t>
            </w:r>
          </w:p>
          <w:p w:rsidR="003A46CC" w:rsidRPr="003A46CC" w:rsidRDefault="003A46CC" w:rsidP="0062041C">
            <w:pPr>
              <w:tabs>
                <w:tab w:val="left" w:pos="168"/>
              </w:tabs>
            </w:pPr>
            <w:r w:rsidRPr="003A46CC">
              <w:rPr>
                <w:i/>
                <w:u w:val="single"/>
              </w:rPr>
              <w:t>Overall grading weight</w:t>
            </w:r>
            <w:r w:rsidRPr="003A46CC">
              <w:rPr>
                <w:i/>
              </w:rPr>
              <w:t xml:space="preserve">: </w:t>
            </w:r>
            <w:r w:rsidR="007C3C33">
              <w:t>10</w:t>
            </w:r>
            <w:r w:rsidR="00635FE6">
              <w:t>-20</w:t>
            </w:r>
            <w:r>
              <w:t>%</w:t>
            </w:r>
          </w:p>
          <w:p w:rsidR="003A46CC" w:rsidRDefault="003A46CC" w:rsidP="0062041C">
            <w:r w:rsidRPr="003A46CC">
              <w:rPr>
                <w:i/>
                <w:u w:val="single"/>
              </w:rPr>
              <w:t>Expected Proficiency Rate</w:t>
            </w:r>
            <w:r w:rsidRPr="003A46CC">
              <w:rPr>
                <w:i/>
              </w:rPr>
              <w:t>:</w:t>
            </w:r>
            <w:r w:rsidRPr="003A46CC">
              <w:t xml:space="preserve"> </w:t>
            </w:r>
            <w:r w:rsidR="00765EAC">
              <w:t>8</w:t>
            </w:r>
            <w:r w:rsidRPr="003A46CC">
              <w:t>0%</w:t>
            </w:r>
            <w:r w:rsidR="0029669B">
              <w:t xml:space="preserve"> </w:t>
            </w:r>
          </w:p>
          <w:p w:rsidR="00C34F82" w:rsidRPr="00C34F82" w:rsidRDefault="00C34F82" w:rsidP="0062041C">
            <w:pPr>
              <w:rPr>
                <w:color w:val="FF0000"/>
                <w:u w:val="single"/>
              </w:rPr>
            </w:pPr>
            <w:r>
              <w:rPr>
                <w:i/>
                <w:color w:val="FF0000"/>
                <w:u w:val="single"/>
              </w:rPr>
              <w:t>Ratio</w:t>
            </w:r>
            <w:r w:rsidRPr="00C34F82">
              <w:rPr>
                <w:i/>
                <w:color w:val="FF0000"/>
                <w:u w:val="single"/>
              </w:rPr>
              <w:t xml:space="preserve">nale: </w:t>
            </w:r>
            <w:r w:rsidRPr="00C34F82">
              <w:rPr>
                <w:color w:val="FF0000"/>
              </w:rPr>
              <w:t>Students work with linguistic registers (formal and informal address, for example) and learn to assess communicative situations and apply what they have learned appropriately as they express themselves in the target language.</w:t>
            </w:r>
          </w:p>
          <w:p w:rsidR="003A46CC" w:rsidRPr="003A46CC" w:rsidRDefault="00F97001" w:rsidP="0062041C">
            <w:r>
              <w:t>-----------------------------------------------------------------</w:t>
            </w:r>
          </w:p>
          <w:p w:rsidR="003A46CC" w:rsidRPr="000D37A8" w:rsidRDefault="003A46CC" w:rsidP="003A46CC">
            <w:pPr>
              <w:tabs>
                <w:tab w:val="left" w:pos="168"/>
              </w:tabs>
              <w:rPr>
                <w:color w:val="FF0000"/>
              </w:rPr>
            </w:pPr>
            <w:r w:rsidRPr="003A46CC">
              <w:rPr>
                <w:i/>
                <w:u w:val="single"/>
              </w:rPr>
              <w:t>Task Type</w:t>
            </w:r>
            <w:r w:rsidRPr="003A46CC">
              <w:rPr>
                <w:i/>
              </w:rPr>
              <w:t>:</w:t>
            </w:r>
            <w:r w:rsidRPr="003A46CC">
              <w:t xml:space="preserve"> </w:t>
            </w:r>
            <w:r w:rsidR="009B7A3E">
              <w:t>Essay section of final exam</w:t>
            </w:r>
            <w:r w:rsidR="000D37A8">
              <w:t xml:space="preserve"> </w:t>
            </w:r>
            <w:r w:rsidR="000D37A8">
              <w:rPr>
                <w:color w:val="FF0000"/>
              </w:rPr>
              <w:t>that requires the integration of insights and reasoning to reach a conclusion</w:t>
            </w:r>
          </w:p>
          <w:p w:rsidR="003A46CC" w:rsidRPr="003A46CC" w:rsidRDefault="003A46CC" w:rsidP="003A46CC">
            <w:pPr>
              <w:tabs>
                <w:tab w:val="left" w:pos="168"/>
              </w:tabs>
            </w:pPr>
            <w:r w:rsidRPr="003A46CC">
              <w:rPr>
                <w:i/>
                <w:u w:val="single"/>
              </w:rPr>
              <w:t>Frequency</w:t>
            </w:r>
            <w:r w:rsidRPr="003A46CC">
              <w:rPr>
                <w:i/>
              </w:rPr>
              <w:t>:</w:t>
            </w:r>
            <w:r w:rsidRPr="003A46CC">
              <w:t xml:space="preserve">  </w:t>
            </w:r>
            <w:r w:rsidR="0051283D">
              <w:t>once</w:t>
            </w:r>
            <w:r w:rsidR="007C3C33">
              <w:t xml:space="preserve"> per semester</w:t>
            </w:r>
          </w:p>
          <w:p w:rsidR="003A46CC" w:rsidRPr="003A46CC" w:rsidRDefault="003A46CC" w:rsidP="003A46CC">
            <w:pPr>
              <w:tabs>
                <w:tab w:val="left" w:pos="168"/>
              </w:tabs>
            </w:pPr>
            <w:r w:rsidRPr="003A46CC">
              <w:rPr>
                <w:i/>
                <w:u w:val="single"/>
              </w:rPr>
              <w:t>Overall grading weight</w:t>
            </w:r>
            <w:r w:rsidRPr="003A46CC">
              <w:rPr>
                <w:i/>
              </w:rPr>
              <w:t xml:space="preserve">: </w:t>
            </w:r>
            <w:r w:rsidR="00635FE6">
              <w:t>20-30</w:t>
            </w:r>
            <w:r w:rsidR="00745B15" w:rsidRPr="007C3C33">
              <w:t>%</w:t>
            </w:r>
          </w:p>
          <w:p w:rsidR="003A46CC" w:rsidRDefault="003A46CC" w:rsidP="003A46CC">
            <w:r w:rsidRPr="003A46CC">
              <w:rPr>
                <w:i/>
                <w:u w:val="single"/>
              </w:rPr>
              <w:t>Expected Proficiency Rate</w:t>
            </w:r>
            <w:r w:rsidRPr="003A46CC">
              <w:rPr>
                <w:i/>
              </w:rPr>
              <w:t>:</w:t>
            </w:r>
            <w:r w:rsidRPr="003A46CC">
              <w:t xml:space="preserve"> </w:t>
            </w:r>
            <w:r w:rsidR="00765EAC">
              <w:t>8</w:t>
            </w:r>
            <w:r w:rsidRPr="003A46CC">
              <w:t>0%</w:t>
            </w:r>
          </w:p>
          <w:p w:rsidR="00C34F82" w:rsidRPr="00C34F82" w:rsidRDefault="00C34F82" w:rsidP="003A46CC">
            <w:pPr>
              <w:rPr>
                <w:i/>
                <w:color w:val="FF0000"/>
                <w:u w:val="single"/>
              </w:rPr>
            </w:pPr>
            <w:r w:rsidRPr="00C34F82">
              <w:rPr>
                <w:i/>
                <w:color w:val="FF0000"/>
                <w:u w:val="single"/>
              </w:rPr>
              <w:t xml:space="preserve">Rationale: </w:t>
            </w:r>
            <w:r w:rsidRPr="00C34F82">
              <w:rPr>
                <w:color w:val="FF0000"/>
              </w:rPr>
              <w:t>After learning new vocabulary, students must be able to integrate what they have learned into various contexts and apply their language skills to express themselves. Negotiating new vocabulary and grammar, and drawing on their knowledge to create new structures demonstrates a mastery of the materials taught and the ability to apply their understanding of the language in new situations.</w:t>
            </w:r>
          </w:p>
          <w:p w:rsidR="00745B15" w:rsidRDefault="00745B15" w:rsidP="003A46CC">
            <w:pPr>
              <w:tabs>
                <w:tab w:val="left" w:pos="168"/>
              </w:tabs>
              <w:rPr>
                <w:i/>
                <w:u w:val="single"/>
              </w:rPr>
            </w:pPr>
          </w:p>
          <w:p w:rsidR="003A46CC" w:rsidRPr="000D37A8" w:rsidRDefault="003A46CC" w:rsidP="003A46CC">
            <w:pPr>
              <w:tabs>
                <w:tab w:val="left" w:pos="168"/>
              </w:tabs>
              <w:rPr>
                <w:color w:val="FF0000"/>
              </w:rPr>
            </w:pPr>
            <w:r w:rsidRPr="003A46CC">
              <w:rPr>
                <w:i/>
                <w:u w:val="single"/>
              </w:rPr>
              <w:lastRenderedPageBreak/>
              <w:t>Task Type</w:t>
            </w:r>
            <w:r w:rsidRPr="003A46CC">
              <w:rPr>
                <w:i/>
              </w:rPr>
              <w:t>:</w:t>
            </w:r>
            <w:r w:rsidRPr="003A46CC">
              <w:t xml:space="preserve"> </w:t>
            </w:r>
            <w:r w:rsidR="007C3C33">
              <w:t>Homework</w:t>
            </w:r>
            <w:r w:rsidR="000D37A8">
              <w:t xml:space="preserve"> </w:t>
            </w:r>
            <w:r w:rsidR="000D37A8">
              <w:rPr>
                <w:color w:val="FF0000"/>
              </w:rPr>
              <w:t>requiring the integration of insight and reasoning in relation to literary or journalistic works read</w:t>
            </w:r>
          </w:p>
          <w:p w:rsidR="003A46CC" w:rsidRPr="003A46CC" w:rsidRDefault="003A46CC" w:rsidP="003A46CC">
            <w:pPr>
              <w:tabs>
                <w:tab w:val="left" w:pos="168"/>
              </w:tabs>
            </w:pPr>
            <w:r w:rsidRPr="003A46CC">
              <w:rPr>
                <w:i/>
                <w:u w:val="single"/>
              </w:rPr>
              <w:t>Frequency</w:t>
            </w:r>
            <w:r w:rsidRPr="003A46CC">
              <w:rPr>
                <w:i/>
              </w:rPr>
              <w:t>:</w:t>
            </w:r>
            <w:r w:rsidR="00745B15">
              <w:t xml:space="preserve">  </w:t>
            </w:r>
            <w:r w:rsidR="007C3C33">
              <w:t>daily</w:t>
            </w:r>
            <w:r w:rsidR="009B7A3E">
              <w:t>-weekly</w:t>
            </w:r>
          </w:p>
          <w:p w:rsidR="003A46CC" w:rsidRPr="003A46CC" w:rsidRDefault="003A46CC" w:rsidP="003A46CC">
            <w:pPr>
              <w:tabs>
                <w:tab w:val="left" w:pos="168"/>
              </w:tabs>
            </w:pPr>
            <w:r w:rsidRPr="003A46CC">
              <w:rPr>
                <w:i/>
                <w:u w:val="single"/>
              </w:rPr>
              <w:t>Overall grading weight</w:t>
            </w:r>
            <w:r w:rsidRPr="003A46CC">
              <w:rPr>
                <w:i/>
              </w:rPr>
              <w:t xml:space="preserve">: </w:t>
            </w:r>
            <w:r w:rsidR="007C3C33">
              <w:t>10</w:t>
            </w:r>
            <w:r w:rsidR="00635FE6">
              <w:t>-20</w:t>
            </w:r>
            <w:r w:rsidR="00745B15">
              <w:t>%</w:t>
            </w:r>
          </w:p>
          <w:p w:rsidR="003A46CC" w:rsidRPr="00C34F82" w:rsidRDefault="003A46CC" w:rsidP="003A46CC">
            <w:pPr>
              <w:rPr>
                <w:color w:val="FF0000"/>
              </w:rPr>
            </w:pPr>
            <w:r w:rsidRPr="003A46CC">
              <w:rPr>
                <w:i/>
                <w:u w:val="single"/>
              </w:rPr>
              <w:t>Expected Proficiency Rate</w:t>
            </w:r>
            <w:r w:rsidRPr="003A46CC">
              <w:rPr>
                <w:i/>
              </w:rPr>
              <w:t>:</w:t>
            </w:r>
            <w:r w:rsidR="007C3C33">
              <w:t xml:space="preserve"> 9</w:t>
            </w:r>
            <w:r w:rsidRPr="003A46CC">
              <w:t>0%</w:t>
            </w:r>
          </w:p>
          <w:p w:rsidR="00C34F82" w:rsidRPr="00C34F82" w:rsidRDefault="00C34F82" w:rsidP="003A46CC">
            <w:pPr>
              <w:rPr>
                <w:i/>
                <w:color w:val="FF0000"/>
              </w:rPr>
            </w:pPr>
            <w:r w:rsidRPr="00C34F82">
              <w:rPr>
                <w:i/>
                <w:color w:val="FF0000"/>
              </w:rPr>
              <w:t xml:space="preserve">Rationale: </w:t>
            </w:r>
            <w:r w:rsidRPr="00C34F82">
              <w:rPr>
                <w:color w:val="FF0000"/>
              </w:rPr>
              <w:t>The writing assignments require students to work with the rules and structures they have learned to evaluate new information (reading comprehension texts, for example) and integrate these with the principles they have learned.</w:t>
            </w:r>
          </w:p>
          <w:p w:rsidR="00745B15" w:rsidRPr="00745B15" w:rsidRDefault="00F97001" w:rsidP="003A46CC">
            <w:r>
              <w:t>--------------------------------------------------------------------------</w:t>
            </w:r>
          </w:p>
          <w:p w:rsidR="00745B15" w:rsidRPr="000D37A8" w:rsidRDefault="00745B15" w:rsidP="00745B15">
            <w:pPr>
              <w:tabs>
                <w:tab w:val="left" w:pos="168"/>
              </w:tabs>
              <w:rPr>
                <w:color w:val="FF0000"/>
              </w:rPr>
            </w:pPr>
            <w:r w:rsidRPr="00745B15">
              <w:rPr>
                <w:i/>
                <w:u w:val="single"/>
              </w:rPr>
              <w:t>Task Type</w:t>
            </w:r>
            <w:r w:rsidRPr="00745B15">
              <w:rPr>
                <w:i/>
              </w:rPr>
              <w:t>:</w:t>
            </w:r>
            <w:r w:rsidRPr="00745B15">
              <w:t xml:space="preserve"> </w:t>
            </w:r>
            <w:r>
              <w:t>I</w:t>
            </w:r>
            <w:r w:rsidRPr="00745B15">
              <w:t>n-class discussion (</w:t>
            </w:r>
            <w:r w:rsidR="0051283D">
              <w:t xml:space="preserve">when </w:t>
            </w:r>
            <w:r w:rsidRPr="00745B15">
              <w:t>graded as participation)</w:t>
            </w:r>
            <w:r w:rsidR="000D37A8">
              <w:t xml:space="preserve"> </w:t>
            </w:r>
            <w:r w:rsidR="000D37A8">
              <w:rPr>
                <w:color w:val="FF0000"/>
              </w:rPr>
              <w:t>focused on the evaluation of information and ideas</w:t>
            </w:r>
          </w:p>
          <w:p w:rsidR="00745B15" w:rsidRPr="00745B15" w:rsidRDefault="00745B15" w:rsidP="00745B15">
            <w:pPr>
              <w:tabs>
                <w:tab w:val="left" w:pos="168"/>
              </w:tabs>
            </w:pPr>
            <w:r w:rsidRPr="00745B15">
              <w:rPr>
                <w:i/>
                <w:u w:val="single"/>
              </w:rPr>
              <w:t>Frequency</w:t>
            </w:r>
            <w:r w:rsidRPr="00745B15">
              <w:rPr>
                <w:i/>
              </w:rPr>
              <w:t>:</w:t>
            </w:r>
            <w:r w:rsidRPr="00745B15">
              <w:t xml:space="preserve">  </w:t>
            </w:r>
            <w:r>
              <w:t>Daily</w:t>
            </w:r>
          </w:p>
          <w:p w:rsidR="00745B15" w:rsidRPr="00745B15" w:rsidRDefault="00745B15" w:rsidP="00745B15">
            <w:pPr>
              <w:tabs>
                <w:tab w:val="left" w:pos="168"/>
              </w:tabs>
            </w:pPr>
            <w:r w:rsidRPr="00745B15">
              <w:rPr>
                <w:i/>
                <w:u w:val="single"/>
              </w:rPr>
              <w:t>Overall grading weight</w:t>
            </w:r>
            <w:r w:rsidRPr="00745B15">
              <w:rPr>
                <w:i/>
              </w:rPr>
              <w:t xml:space="preserve">: </w:t>
            </w:r>
            <w:r>
              <w:t>5</w:t>
            </w:r>
            <w:r w:rsidR="00635FE6">
              <w:t>-10</w:t>
            </w:r>
            <w:r>
              <w:t>%</w:t>
            </w:r>
          </w:p>
          <w:p w:rsidR="00745B15" w:rsidRDefault="00745B15" w:rsidP="00635FE6">
            <w:r w:rsidRPr="00745B15">
              <w:rPr>
                <w:i/>
                <w:u w:val="single"/>
              </w:rPr>
              <w:t>Expected Proficiency Rate</w:t>
            </w:r>
            <w:r w:rsidRPr="00745B15">
              <w:rPr>
                <w:i/>
              </w:rPr>
              <w:t>:</w:t>
            </w:r>
            <w:r w:rsidRPr="00745B15">
              <w:t xml:space="preserve"> </w:t>
            </w:r>
            <w:r w:rsidR="00635FE6">
              <w:t>90%</w:t>
            </w:r>
          </w:p>
        </w:tc>
      </w:tr>
      <w:tr w:rsidR="003A46CC" w:rsidTr="00C34F82">
        <w:trPr>
          <w:trHeight w:val="3759"/>
        </w:trPr>
        <w:tc>
          <w:tcPr>
            <w:tcW w:w="1344" w:type="dxa"/>
          </w:tcPr>
          <w:p w:rsidR="003A46CC" w:rsidRPr="00AE7775" w:rsidRDefault="003A46CC">
            <w:pPr>
              <w:rPr>
                <w:b/>
              </w:rPr>
            </w:pPr>
            <w:r w:rsidRPr="00AE7775">
              <w:rPr>
                <w:b/>
              </w:rPr>
              <w:t>Integrate</w:t>
            </w:r>
          </w:p>
        </w:tc>
        <w:tc>
          <w:tcPr>
            <w:tcW w:w="2320" w:type="dxa"/>
          </w:tcPr>
          <w:p w:rsidR="003A46CC" w:rsidRDefault="003A46CC" w:rsidP="004F3A39">
            <w:r w:rsidRPr="007A65D6">
              <w:t xml:space="preserve">Integrates insight and or reasoning with </w:t>
            </w:r>
            <w:r>
              <w:t>existing</w:t>
            </w:r>
            <w:r w:rsidRPr="007A65D6">
              <w:t xml:space="preserve"> understanding to reach informed conclusions and/or understanding</w:t>
            </w:r>
          </w:p>
        </w:tc>
        <w:tc>
          <w:tcPr>
            <w:tcW w:w="6622" w:type="dxa"/>
            <w:vMerge/>
          </w:tcPr>
          <w:p w:rsidR="003A46CC" w:rsidRDefault="003A46CC" w:rsidP="0062041C"/>
        </w:tc>
      </w:tr>
      <w:tr w:rsidR="003A46CC" w:rsidTr="003A46CC">
        <w:tc>
          <w:tcPr>
            <w:tcW w:w="1344" w:type="dxa"/>
          </w:tcPr>
          <w:p w:rsidR="003A46CC" w:rsidRPr="00AE7775" w:rsidRDefault="003A46CC">
            <w:pPr>
              <w:rPr>
                <w:b/>
              </w:rPr>
            </w:pPr>
            <w:r w:rsidRPr="00AE7775">
              <w:rPr>
                <w:b/>
              </w:rPr>
              <w:lastRenderedPageBreak/>
              <w:t>Evaluate</w:t>
            </w:r>
          </w:p>
        </w:tc>
        <w:tc>
          <w:tcPr>
            <w:tcW w:w="2320" w:type="dxa"/>
          </w:tcPr>
          <w:p w:rsidR="003A46CC" w:rsidRDefault="003A46CC">
            <w:r w:rsidRPr="00AE7775">
              <w:t>Evaluate</w:t>
            </w:r>
            <w:r>
              <w:t>s</w:t>
            </w:r>
            <w:r w:rsidRPr="00AE7775">
              <w:t xml:space="preserve"> information, ideas, and activities according to established principles and guidelines</w:t>
            </w:r>
          </w:p>
        </w:tc>
        <w:tc>
          <w:tcPr>
            <w:tcW w:w="6622" w:type="dxa"/>
            <w:vMerge/>
          </w:tcPr>
          <w:p w:rsidR="003A46CC" w:rsidRDefault="003A46CC" w:rsidP="0062041C"/>
        </w:tc>
      </w:tr>
    </w:tbl>
    <w:p w:rsidR="007A65D6" w:rsidRDefault="007A65D6"/>
    <w:p w:rsidR="00DE239C" w:rsidRPr="007A65D6" w:rsidRDefault="00DE239C" w:rsidP="007974F8">
      <w:pPr>
        <w:rPr>
          <w:b/>
        </w:rPr>
      </w:pPr>
      <w:r w:rsidRPr="007A65D6">
        <w:rPr>
          <w:b/>
        </w:rPr>
        <w:t>PLAN FOR LEARNING OUTCOMES</w:t>
      </w:r>
      <w:r>
        <w:rPr>
          <w:b/>
        </w:rPr>
        <w:br/>
        <w:t>EFFECTIVE COMMUNICATION</w:t>
      </w:r>
    </w:p>
    <w:p w:rsidR="003C2429" w:rsidRPr="005A4C62" w:rsidRDefault="003C2429" w:rsidP="003C2429">
      <w:pPr>
        <w:rPr>
          <w:i/>
          <w:sz w:val="20"/>
          <w:szCs w:val="20"/>
        </w:rPr>
      </w:pPr>
      <w:r w:rsidRPr="005A4C62">
        <w:rPr>
          <w:i/>
          <w:sz w:val="20"/>
          <w:szCs w:val="20"/>
        </w:rPr>
        <w:t>Attainment of the EFFECTIVE COMMUNICATION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w:t>
      </w:r>
      <w:r w:rsidR="005A4C62" w:rsidRPr="005A4C62">
        <w:rPr>
          <w:i/>
          <w:sz w:val="20"/>
          <w:szCs w:val="20"/>
        </w:rPr>
        <w:t xml:space="preserve">. </w:t>
      </w:r>
    </w:p>
    <w:tbl>
      <w:tblPr>
        <w:tblStyle w:val="TableGrid"/>
        <w:tblW w:w="0" w:type="auto"/>
        <w:tblLook w:val="04A0" w:firstRow="1" w:lastRow="0" w:firstColumn="1" w:lastColumn="0" w:noHBand="0" w:noVBand="1"/>
      </w:tblPr>
      <w:tblGrid>
        <w:gridCol w:w="1832"/>
        <w:gridCol w:w="2604"/>
        <w:gridCol w:w="5254"/>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AE7775" w:rsidRDefault="00AE7775">
            <w:pPr>
              <w:rPr>
                <w:b/>
              </w:rPr>
            </w:pPr>
            <w:r w:rsidRPr="00AE7775">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094E06" w:rsidRPr="00D415B8" w:rsidRDefault="00094E06" w:rsidP="00094E06">
            <w:pPr>
              <w:tabs>
                <w:tab w:val="left" w:pos="168"/>
              </w:tabs>
              <w:rPr>
                <w:color w:val="FF0000"/>
                <w:sz w:val="24"/>
                <w:szCs w:val="24"/>
              </w:rPr>
            </w:pPr>
            <w:r w:rsidRPr="00F5127F">
              <w:rPr>
                <w:i/>
                <w:sz w:val="24"/>
                <w:szCs w:val="24"/>
                <w:u w:val="single"/>
              </w:rPr>
              <w:t>Task Type</w:t>
            </w:r>
            <w:r w:rsidRPr="00F5127F">
              <w:rPr>
                <w:i/>
                <w:sz w:val="24"/>
                <w:szCs w:val="24"/>
              </w:rPr>
              <w:t>:</w:t>
            </w:r>
            <w:r w:rsidRPr="00F5127F">
              <w:rPr>
                <w:sz w:val="24"/>
                <w:szCs w:val="24"/>
              </w:rPr>
              <w:t xml:space="preserve"> </w:t>
            </w:r>
            <w:r w:rsidR="009B7A3E">
              <w:rPr>
                <w:sz w:val="24"/>
                <w:szCs w:val="24"/>
              </w:rPr>
              <w:t xml:space="preserve">Written assignments, </w:t>
            </w:r>
            <w:r w:rsidR="009B70EA">
              <w:rPr>
                <w:sz w:val="24"/>
                <w:szCs w:val="24"/>
              </w:rPr>
              <w:t>P</w:t>
            </w:r>
            <w:r>
              <w:rPr>
                <w:sz w:val="24"/>
                <w:szCs w:val="24"/>
              </w:rPr>
              <w:t xml:space="preserve">resentation, </w:t>
            </w:r>
            <w:r w:rsidR="009B7A3E">
              <w:rPr>
                <w:sz w:val="24"/>
                <w:szCs w:val="24"/>
              </w:rPr>
              <w:t xml:space="preserve">and/or </w:t>
            </w:r>
            <w:r>
              <w:rPr>
                <w:sz w:val="24"/>
                <w:szCs w:val="24"/>
              </w:rPr>
              <w:t>Final Project</w:t>
            </w:r>
            <w:r w:rsidR="009B7A3E">
              <w:rPr>
                <w:sz w:val="24"/>
                <w:szCs w:val="24"/>
              </w:rPr>
              <w:t>/Exam</w:t>
            </w:r>
            <w:r w:rsidR="00D415B8">
              <w:rPr>
                <w:sz w:val="24"/>
                <w:szCs w:val="24"/>
              </w:rPr>
              <w:t xml:space="preserve"> </w:t>
            </w:r>
            <w:r w:rsidR="00D415B8">
              <w:rPr>
                <w:color w:val="FF0000"/>
                <w:sz w:val="24"/>
                <w:szCs w:val="24"/>
              </w:rPr>
              <w:t>addressing the dimension(s) of central structure and message</w:t>
            </w:r>
          </w:p>
          <w:p w:rsidR="00094E06" w:rsidRPr="00F5127F" w:rsidRDefault="00094E06" w:rsidP="00094E06">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Written assignments</w:t>
            </w:r>
            <w:r w:rsidR="00A20B25">
              <w:rPr>
                <w:sz w:val="24"/>
                <w:szCs w:val="24"/>
              </w:rPr>
              <w:t xml:space="preserve">: </w:t>
            </w:r>
            <w:r w:rsidR="009B7A3E">
              <w:rPr>
                <w:sz w:val="24"/>
                <w:szCs w:val="24"/>
              </w:rPr>
              <w:t>1-4 times per semester</w:t>
            </w:r>
            <w:r w:rsidR="00A20B25">
              <w:rPr>
                <w:sz w:val="24"/>
                <w:szCs w:val="24"/>
              </w:rPr>
              <w:t>; P</w:t>
            </w:r>
            <w:r>
              <w:rPr>
                <w:sz w:val="24"/>
                <w:szCs w:val="24"/>
              </w:rPr>
              <w:t xml:space="preserve">resentation: </w:t>
            </w:r>
            <w:r w:rsidR="009B7A3E">
              <w:rPr>
                <w:sz w:val="24"/>
                <w:szCs w:val="24"/>
              </w:rPr>
              <w:t>zero-</w:t>
            </w:r>
            <w:r>
              <w:rPr>
                <w:sz w:val="24"/>
                <w:szCs w:val="24"/>
              </w:rPr>
              <w:t>once; Final project: once</w:t>
            </w:r>
          </w:p>
          <w:p w:rsidR="00094E06" w:rsidRPr="00780666" w:rsidRDefault="00094E06" w:rsidP="00094E06">
            <w:pPr>
              <w:tabs>
                <w:tab w:val="left" w:pos="168"/>
              </w:tabs>
              <w:rPr>
                <w:sz w:val="24"/>
                <w:szCs w:val="24"/>
              </w:rPr>
            </w:pPr>
            <w:r w:rsidRPr="00F5127F">
              <w:rPr>
                <w:i/>
                <w:sz w:val="24"/>
                <w:szCs w:val="24"/>
                <w:u w:val="single"/>
              </w:rPr>
              <w:t>Overall grading weight</w:t>
            </w:r>
            <w:r w:rsidRPr="00F5127F">
              <w:rPr>
                <w:i/>
                <w:sz w:val="24"/>
                <w:szCs w:val="24"/>
              </w:rPr>
              <w:t xml:space="preserve">: </w:t>
            </w:r>
            <w:r w:rsidR="009B70EA">
              <w:rPr>
                <w:sz w:val="24"/>
                <w:szCs w:val="24"/>
              </w:rPr>
              <w:t>Written assignments: 10</w:t>
            </w:r>
            <w:r w:rsidR="00635FE6">
              <w:rPr>
                <w:sz w:val="24"/>
                <w:szCs w:val="24"/>
              </w:rPr>
              <w:t>-20</w:t>
            </w:r>
            <w:r w:rsidR="009B70EA">
              <w:rPr>
                <w:sz w:val="24"/>
                <w:szCs w:val="24"/>
              </w:rPr>
              <w:t>%; P</w:t>
            </w:r>
            <w:r>
              <w:rPr>
                <w:sz w:val="24"/>
                <w:szCs w:val="24"/>
              </w:rPr>
              <w:t xml:space="preserve">resentation: </w:t>
            </w:r>
            <w:r w:rsidR="009B7A3E">
              <w:rPr>
                <w:sz w:val="24"/>
                <w:szCs w:val="24"/>
              </w:rPr>
              <w:t>0-</w:t>
            </w:r>
            <w:r>
              <w:rPr>
                <w:sz w:val="24"/>
                <w:szCs w:val="24"/>
              </w:rPr>
              <w:t>10%; Final project: 2</w:t>
            </w:r>
            <w:r w:rsidR="00635FE6">
              <w:rPr>
                <w:sz w:val="24"/>
                <w:szCs w:val="24"/>
              </w:rPr>
              <w:t>0-30</w:t>
            </w:r>
            <w:r>
              <w:rPr>
                <w:sz w:val="24"/>
                <w:szCs w:val="24"/>
              </w:rPr>
              <w:t>%</w:t>
            </w:r>
          </w:p>
          <w:p w:rsidR="00AE7775" w:rsidRDefault="00094E06" w:rsidP="00094E06">
            <w:pPr>
              <w:tabs>
                <w:tab w:val="left" w:pos="168"/>
              </w:tabs>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C34F82" w:rsidRPr="00C34F82" w:rsidRDefault="00C34F82" w:rsidP="00094E06">
            <w:pPr>
              <w:tabs>
                <w:tab w:val="left" w:pos="168"/>
              </w:tabs>
              <w:rPr>
                <w:rFonts w:ascii="Garamond" w:hAnsi="Garamond"/>
                <w:sz w:val="17"/>
                <w:szCs w:val="17"/>
              </w:rPr>
            </w:pPr>
            <w:r w:rsidRPr="00C34F82">
              <w:rPr>
                <w:i/>
                <w:color w:val="FF0000"/>
                <w:sz w:val="24"/>
                <w:szCs w:val="24"/>
                <w:u w:val="single"/>
              </w:rPr>
              <w:t>Rationale:</w:t>
            </w:r>
            <w:r w:rsidRPr="00C34F82">
              <w:rPr>
                <w:color w:val="FF0000"/>
                <w:sz w:val="24"/>
                <w:szCs w:val="24"/>
                <w:u w:val="single"/>
              </w:rPr>
              <w:t xml:space="preserve"> </w:t>
            </w:r>
            <w:r w:rsidRPr="00C34F82">
              <w:rPr>
                <w:color w:val="FF0000"/>
                <w:sz w:val="24"/>
                <w:szCs w:val="24"/>
              </w:rPr>
              <w:t>Some students will be able to successfully pass the course (given the many grading components) but not meet proficiency in this particular dimension.</w:t>
            </w:r>
          </w:p>
        </w:tc>
      </w:tr>
      <w:tr w:rsidR="00AE7775" w:rsidRPr="00AE7775" w:rsidTr="00997CF2">
        <w:tc>
          <w:tcPr>
            <w:tcW w:w="1885" w:type="dxa"/>
          </w:tcPr>
          <w:p w:rsidR="00AE7775" w:rsidRPr="00AE7775" w:rsidRDefault="00AE7775" w:rsidP="00AE7775">
            <w:pPr>
              <w:rPr>
                <w:b/>
              </w:rPr>
            </w:pPr>
            <w:r w:rsidRPr="00AE7775">
              <w:rPr>
                <w:b/>
              </w:rPr>
              <w:lastRenderedPageBreak/>
              <w:t>Substantiation</w:t>
            </w:r>
          </w:p>
        </w:tc>
        <w:tc>
          <w:tcPr>
            <w:tcW w:w="2790" w:type="dxa"/>
            <w:tcBorders>
              <w:right w:val="single" w:sz="2" w:space="0" w:color="000000"/>
            </w:tcBorders>
          </w:tcPr>
          <w:p w:rsidR="00AE7775" w:rsidRPr="00AE7775" w:rsidRDefault="00AE7775" w:rsidP="00AE7775">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rsidR="00AE7101" w:rsidRPr="00D415B8" w:rsidRDefault="00AE7101" w:rsidP="00AE7101">
            <w:pPr>
              <w:tabs>
                <w:tab w:val="left" w:pos="168"/>
              </w:tabs>
              <w:rPr>
                <w:color w:val="FF0000"/>
                <w:sz w:val="24"/>
                <w:szCs w:val="24"/>
              </w:rPr>
            </w:pPr>
            <w:r w:rsidRPr="00F5127F">
              <w:rPr>
                <w:i/>
                <w:sz w:val="24"/>
                <w:szCs w:val="24"/>
                <w:u w:val="single"/>
              </w:rPr>
              <w:t>Task Type</w:t>
            </w:r>
            <w:r w:rsidRPr="00F5127F">
              <w:rPr>
                <w:i/>
                <w:sz w:val="24"/>
                <w:szCs w:val="24"/>
              </w:rPr>
              <w:t>:</w:t>
            </w:r>
            <w:r w:rsidRPr="00F5127F">
              <w:rPr>
                <w:sz w:val="24"/>
                <w:szCs w:val="24"/>
              </w:rPr>
              <w:t xml:space="preserve"> </w:t>
            </w:r>
            <w:r w:rsidR="009B7A3E">
              <w:rPr>
                <w:sz w:val="24"/>
                <w:szCs w:val="24"/>
              </w:rPr>
              <w:t>Written assignments,</w:t>
            </w:r>
            <w:r w:rsidR="005E2FC8">
              <w:rPr>
                <w:sz w:val="24"/>
                <w:szCs w:val="24"/>
              </w:rPr>
              <w:t xml:space="preserve"> </w:t>
            </w:r>
            <w:r w:rsidR="00094E06">
              <w:rPr>
                <w:sz w:val="24"/>
                <w:szCs w:val="24"/>
              </w:rPr>
              <w:t xml:space="preserve">Presentation, </w:t>
            </w:r>
            <w:r w:rsidR="009B7A3E">
              <w:rPr>
                <w:sz w:val="24"/>
                <w:szCs w:val="24"/>
              </w:rPr>
              <w:t xml:space="preserve"> and/or </w:t>
            </w:r>
            <w:r w:rsidR="00094E06">
              <w:rPr>
                <w:sz w:val="24"/>
                <w:szCs w:val="24"/>
              </w:rPr>
              <w:t>Final Project</w:t>
            </w:r>
            <w:r w:rsidR="00C26815">
              <w:rPr>
                <w:sz w:val="24"/>
                <w:szCs w:val="24"/>
              </w:rPr>
              <w:t>/Exam</w:t>
            </w:r>
            <w:r w:rsidR="00D415B8">
              <w:rPr>
                <w:sz w:val="24"/>
                <w:szCs w:val="24"/>
              </w:rPr>
              <w:t xml:space="preserve"> </w:t>
            </w:r>
            <w:r w:rsidR="00D415B8">
              <w:rPr>
                <w:color w:val="FF0000"/>
                <w:sz w:val="24"/>
                <w:szCs w:val="24"/>
              </w:rPr>
              <w:t>incorporating significant substantiation and use of evidence</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 xml:space="preserve">Written assignments: </w:t>
            </w:r>
            <w:r w:rsidR="009B7A3E">
              <w:rPr>
                <w:sz w:val="24"/>
                <w:szCs w:val="24"/>
              </w:rPr>
              <w:t>1-4</w:t>
            </w:r>
            <w:r w:rsidR="00E16B78">
              <w:rPr>
                <w:sz w:val="24"/>
                <w:szCs w:val="24"/>
              </w:rPr>
              <w:t xml:space="preserve"> times</w:t>
            </w:r>
            <w:r>
              <w:rPr>
                <w:sz w:val="24"/>
                <w:szCs w:val="24"/>
              </w:rPr>
              <w:t xml:space="preserve"> per semester; </w:t>
            </w:r>
            <w:r w:rsidR="00A20B25">
              <w:rPr>
                <w:sz w:val="24"/>
                <w:szCs w:val="24"/>
              </w:rPr>
              <w:t>P</w:t>
            </w:r>
            <w:r w:rsidR="00094E06">
              <w:rPr>
                <w:sz w:val="24"/>
                <w:szCs w:val="24"/>
              </w:rPr>
              <w:t>resentation: once; Final project</w:t>
            </w:r>
            <w:r w:rsidR="009B7A3E">
              <w:rPr>
                <w:sz w:val="24"/>
                <w:szCs w:val="24"/>
              </w:rPr>
              <w:t>/exam</w:t>
            </w:r>
            <w:r w:rsidR="00094E06">
              <w:rPr>
                <w:sz w:val="24"/>
                <w:szCs w:val="24"/>
              </w:rPr>
              <w:t>: once</w:t>
            </w:r>
          </w:p>
          <w:p w:rsidR="00AE7101" w:rsidRPr="00780666"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sidR="00635FE6">
              <w:rPr>
                <w:sz w:val="24"/>
                <w:szCs w:val="24"/>
              </w:rPr>
              <w:t>Written assignments: 10-20%; Presentation: 10%; Final project</w:t>
            </w:r>
            <w:r w:rsidR="009B7A3E">
              <w:rPr>
                <w:sz w:val="24"/>
                <w:szCs w:val="24"/>
              </w:rPr>
              <w:t>/exam</w:t>
            </w:r>
            <w:r w:rsidR="00635FE6">
              <w:rPr>
                <w:sz w:val="24"/>
                <w:szCs w:val="24"/>
              </w:rPr>
              <w:t>: 20-30%</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C34F82" w:rsidRPr="00AE7775" w:rsidRDefault="00C34F82" w:rsidP="00AE7101">
            <w:r w:rsidRPr="00C34F82">
              <w:rPr>
                <w:i/>
                <w:color w:val="FF0000"/>
                <w:sz w:val="24"/>
                <w:szCs w:val="24"/>
                <w:u w:val="single"/>
              </w:rPr>
              <w:t>Rationale:</w:t>
            </w:r>
            <w:r w:rsidRPr="00C34F82">
              <w:rPr>
                <w:color w:val="FF0000"/>
                <w:sz w:val="24"/>
                <w:szCs w:val="24"/>
                <w:u w:val="single"/>
              </w:rPr>
              <w:t xml:space="preserve"> </w:t>
            </w:r>
            <w:r w:rsidRPr="00C34F82">
              <w:rPr>
                <w:color w:val="FF0000"/>
                <w:sz w:val="24"/>
                <w:szCs w:val="24"/>
              </w:rPr>
              <w:t>Some students will be able to successfully pass the course (given the many grading components) but not meet proficiency in this particular dimension.</w:t>
            </w:r>
          </w:p>
        </w:tc>
      </w:tr>
      <w:tr w:rsidR="00AE7775" w:rsidRPr="00AE7775" w:rsidTr="00997CF2">
        <w:tc>
          <w:tcPr>
            <w:tcW w:w="1885" w:type="dxa"/>
          </w:tcPr>
          <w:p w:rsidR="00AE7775" w:rsidRPr="00AE7775" w:rsidRDefault="00AE7775" w:rsidP="00AE7775">
            <w:pPr>
              <w:rPr>
                <w:b/>
              </w:rPr>
            </w:pPr>
            <w:r w:rsidRPr="00AE7775">
              <w:rPr>
                <w:b/>
              </w:rPr>
              <w:t>Delivery-Written</w:t>
            </w:r>
          </w:p>
        </w:tc>
        <w:tc>
          <w:tcPr>
            <w:tcW w:w="2790" w:type="dxa"/>
            <w:tcBorders>
              <w:right w:val="single" w:sz="2" w:space="0" w:color="000000"/>
            </w:tcBorders>
          </w:tcPr>
          <w:p w:rsidR="00AE7775" w:rsidRPr="00AE7775" w:rsidRDefault="00AE7775" w:rsidP="005A4C62">
            <w:r w:rsidRPr="00AE7775">
              <w:t xml:space="preserve">Text (clear, readable, consistent with disciplinary conventions and standard written conventions including proofreading and proper syntax etc.) appropriate to the purpose </w:t>
            </w:r>
            <w:r w:rsidR="005A4C62">
              <w:t>&amp;</w:t>
            </w:r>
            <w:r w:rsidRPr="00AE7775">
              <w:t xml:space="preserve"> audience.</w:t>
            </w:r>
          </w:p>
        </w:tc>
        <w:tc>
          <w:tcPr>
            <w:tcW w:w="5940" w:type="dxa"/>
            <w:tcBorders>
              <w:left w:val="single" w:sz="2" w:space="0" w:color="000000"/>
              <w:bottom w:val="single" w:sz="2" w:space="0" w:color="000000"/>
            </w:tcBorders>
          </w:tcPr>
          <w:p w:rsidR="00AE7101" w:rsidRPr="00DC5CCB" w:rsidRDefault="00AE7101" w:rsidP="00AE7101">
            <w:pPr>
              <w:tabs>
                <w:tab w:val="left" w:pos="168"/>
              </w:tabs>
              <w:rPr>
                <w:color w:val="FF0000"/>
                <w:sz w:val="24"/>
                <w:szCs w:val="24"/>
              </w:rPr>
            </w:pPr>
            <w:r w:rsidRPr="00F5127F">
              <w:rPr>
                <w:i/>
                <w:sz w:val="24"/>
                <w:szCs w:val="24"/>
                <w:u w:val="single"/>
              </w:rPr>
              <w:t>Task Type</w:t>
            </w:r>
            <w:r w:rsidRPr="00F5127F">
              <w:rPr>
                <w:i/>
                <w:sz w:val="24"/>
                <w:szCs w:val="24"/>
              </w:rPr>
              <w:t>:</w:t>
            </w:r>
            <w:r w:rsidRPr="00F5127F">
              <w:rPr>
                <w:sz w:val="24"/>
                <w:szCs w:val="24"/>
              </w:rPr>
              <w:t xml:space="preserve"> </w:t>
            </w:r>
            <w:r>
              <w:rPr>
                <w:sz w:val="24"/>
                <w:szCs w:val="24"/>
              </w:rPr>
              <w:t>Written assignments and</w:t>
            </w:r>
            <w:r w:rsidR="00C26815">
              <w:rPr>
                <w:sz w:val="24"/>
                <w:szCs w:val="24"/>
              </w:rPr>
              <w:t>/or</w:t>
            </w:r>
            <w:r>
              <w:rPr>
                <w:sz w:val="24"/>
                <w:szCs w:val="24"/>
              </w:rPr>
              <w:t xml:space="preserve"> </w:t>
            </w:r>
            <w:r w:rsidR="005E2FC8">
              <w:rPr>
                <w:sz w:val="24"/>
                <w:szCs w:val="24"/>
              </w:rPr>
              <w:t>Final Project</w:t>
            </w:r>
            <w:r w:rsidR="00C26815">
              <w:rPr>
                <w:sz w:val="24"/>
                <w:szCs w:val="24"/>
              </w:rPr>
              <w:t xml:space="preserve"> or Exam</w:t>
            </w:r>
            <w:r w:rsidR="00DC5CCB">
              <w:rPr>
                <w:sz w:val="24"/>
                <w:szCs w:val="24"/>
              </w:rPr>
              <w:t xml:space="preserve"> </w:t>
            </w:r>
            <w:r w:rsidR="00DC5CCB">
              <w:rPr>
                <w:color w:val="FF0000"/>
                <w:sz w:val="24"/>
                <w:szCs w:val="24"/>
              </w:rPr>
              <w:t>to demonstrate the clarity and readability of students’ written Spanish</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 xml:space="preserve">Written assignments: </w:t>
            </w:r>
            <w:r w:rsidR="009B7A3E">
              <w:rPr>
                <w:sz w:val="24"/>
                <w:szCs w:val="24"/>
              </w:rPr>
              <w:t>1-4</w:t>
            </w:r>
            <w:r w:rsidR="00E16B78">
              <w:rPr>
                <w:sz w:val="24"/>
                <w:szCs w:val="24"/>
              </w:rPr>
              <w:t xml:space="preserve"> times</w:t>
            </w:r>
            <w:r>
              <w:rPr>
                <w:sz w:val="24"/>
                <w:szCs w:val="24"/>
              </w:rPr>
              <w:t xml:space="preserve"> per semester; </w:t>
            </w:r>
            <w:r w:rsidR="005E2FC8">
              <w:rPr>
                <w:sz w:val="24"/>
                <w:szCs w:val="24"/>
              </w:rPr>
              <w:t>Final project</w:t>
            </w:r>
            <w:r w:rsidR="009B7A3E">
              <w:rPr>
                <w:sz w:val="24"/>
                <w:szCs w:val="24"/>
              </w:rPr>
              <w:t>/exam</w:t>
            </w:r>
            <w:r w:rsidR="005E2FC8">
              <w:rPr>
                <w:sz w:val="24"/>
                <w:szCs w:val="24"/>
              </w:rPr>
              <w:t>: once</w:t>
            </w:r>
          </w:p>
          <w:p w:rsidR="00AE7101" w:rsidRPr="00780666"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Pr>
                <w:sz w:val="24"/>
                <w:szCs w:val="24"/>
              </w:rPr>
              <w:t>Written assignments: 1</w:t>
            </w:r>
            <w:r w:rsidR="005E2FC8">
              <w:rPr>
                <w:sz w:val="24"/>
                <w:szCs w:val="24"/>
              </w:rPr>
              <w:t>0</w:t>
            </w:r>
            <w:r w:rsidR="00635FE6">
              <w:rPr>
                <w:sz w:val="24"/>
                <w:szCs w:val="24"/>
              </w:rPr>
              <w:t>-20</w:t>
            </w:r>
            <w:r>
              <w:rPr>
                <w:sz w:val="24"/>
                <w:szCs w:val="24"/>
              </w:rPr>
              <w:t>%; Research Pro</w:t>
            </w:r>
            <w:r w:rsidR="00635FE6">
              <w:rPr>
                <w:sz w:val="24"/>
                <w:szCs w:val="24"/>
              </w:rPr>
              <w:t>ject: 20-30</w:t>
            </w:r>
            <w:r>
              <w:rPr>
                <w:sz w:val="24"/>
                <w:szCs w:val="24"/>
              </w:rPr>
              <w:t>%</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C34F82" w:rsidRPr="00AE7775" w:rsidRDefault="00C34F82" w:rsidP="00AE7101">
            <w:r w:rsidRPr="00C34F82">
              <w:rPr>
                <w:i/>
                <w:color w:val="FF0000"/>
                <w:sz w:val="24"/>
                <w:szCs w:val="24"/>
                <w:u w:val="single"/>
              </w:rPr>
              <w:t>Rationale:</w:t>
            </w:r>
            <w:r w:rsidRPr="00C34F82">
              <w:rPr>
                <w:color w:val="FF0000"/>
                <w:sz w:val="24"/>
                <w:szCs w:val="24"/>
                <w:u w:val="single"/>
              </w:rPr>
              <w:t xml:space="preserve"> </w:t>
            </w:r>
            <w:r w:rsidRPr="00C34F82">
              <w:rPr>
                <w:color w:val="FF0000"/>
                <w:sz w:val="24"/>
                <w:szCs w:val="24"/>
              </w:rPr>
              <w:t>Some students will be able to successfully pass the course (given the many grading components) but not meet proficiency in this particular dimension.</w:t>
            </w:r>
          </w:p>
        </w:tc>
      </w:tr>
      <w:tr w:rsidR="00AE7775" w:rsidRPr="00AE7775" w:rsidTr="00997CF2">
        <w:tc>
          <w:tcPr>
            <w:tcW w:w="1885" w:type="dxa"/>
          </w:tcPr>
          <w:p w:rsidR="00AE7775" w:rsidRPr="00AE7775" w:rsidRDefault="00AE7775" w:rsidP="00AE7775">
            <w:pPr>
              <w:rPr>
                <w:b/>
              </w:rPr>
            </w:pPr>
            <w:r w:rsidRPr="00AE7775">
              <w:rPr>
                <w:b/>
              </w:rPr>
              <w:t>Delivery-Oral</w:t>
            </w:r>
          </w:p>
        </w:tc>
        <w:tc>
          <w:tcPr>
            <w:tcW w:w="2790" w:type="dxa"/>
            <w:tcBorders>
              <w:right w:val="single" w:sz="2" w:space="0" w:color="000000"/>
            </w:tcBorders>
          </w:tcPr>
          <w:p w:rsidR="00AE7775" w:rsidRPr="00AE7775" w:rsidRDefault="00AE7775" w:rsidP="00AE7775">
            <w:r w:rsidRPr="00AE7775">
              <w:t>Delivery techniques (posture, gesture, eye contact, and vocal expressiveness) and audio/visual aids appropriate to the purpose and audience.</w:t>
            </w:r>
          </w:p>
        </w:tc>
        <w:tc>
          <w:tcPr>
            <w:tcW w:w="5940" w:type="dxa"/>
            <w:tcBorders>
              <w:top w:val="single" w:sz="2" w:space="0" w:color="000000"/>
              <w:left w:val="single" w:sz="2" w:space="0" w:color="000000"/>
            </w:tcBorders>
          </w:tcPr>
          <w:p w:rsidR="00AE7101" w:rsidRPr="00DC5CCB" w:rsidRDefault="00AE7101" w:rsidP="00AE7101">
            <w:pPr>
              <w:tabs>
                <w:tab w:val="left" w:pos="168"/>
              </w:tabs>
              <w:rPr>
                <w:color w:val="FF0000"/>
                <w:sz w:val="24"/>
                <w:szCs w:val="24"/>
              </w:rPr>
            </w:pPr>
            <w:r w:rsidRPr="00F5127F">
              <w:rPr>
                <w:i/>
                <w:sz w:val="24"/>
                <w:szCs w:val="24"/>
                <w:u w:val="single"/>
              </w:rPr>
              <w:t>Task Type</w:t>
            </w:r>
            <w:r w:rsidRPr="00F5127F">
              <w:rPr>
                <w:i/>
                <w:sz w:val="24"/>
                <w:szCs w:val="24"/>
              </w:rPr>
              <w:t>:</w:t>
            </w:r>
            <w:r w:rsidRPr="00F5127F">
              <w:rPr>
                <w:sz w:val="24"/>
                <w:szCs w:val="24"/>
              </w:rPr>
              <w:t xml:space="preserve"> </w:t>
            </w:r>
            <w:r>
              <w:rPr>
                <w:sz w:val="24"/>
                <w:szCs w:val="24"/>
              </w:rPr>
              <w:t>Presentation</w:t>
            </w:r>
            <w:r w:rsidR="005E2FC8">
              <w:rPr>
                <w:sz w:val="24"/>
                <w:szCs w:val="24"/>
              </w:rPr>
              <w:t>s</w:t>
            </w:r>
            <w:r w:rsidR="009B7A3E">
              <w:rPr>
                <w:sz w:val="24"/>
                <w:szCs w:val="24"/>
              </w:rPr>
              <w:t>, debates, and/or in-class discussion</w:t>
            </w:r>
            <w:r w:rsidR="00DC5CCB">
              <w:rPr>
                <w:sz w:val="24"/>
                <w:szCs w:val="24"/>
              </w:rPr>
              <w:t xml:space="preserve"> </w:t>
            </w:r>
            <w:r w:rsidR="00DC5CCB">
              <w:rPr>
                <w:color w:val="FF0000"/>
                <w:sz w:val="24"/>
                <w:szCs w:val="24"/>
              </w:rPr>
              <w:t>to demonstrate appropriate delivery techniques and skill level of oral Spanish</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sidR="009B7A3E">
              <w:rPr>
                <w:sz w:val="24"/>
                <w:szCs w:val="24"/>
              </w:rPr>
              <w:t>variable</w:t>
            </w:r>
          </w:p>
          <w:p w:rsidR="00AE7101" w:rsidRPr="00AE7101"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sidR="005E2FC8">
              <w:rPr>
                <w:sz w:val="24"/>
                <w:szCs w:val="24"/>
              </w:rPr>
              <w:t>15</w:t>
            </w:r>
            <w:r w:rsidR="00635FE6">
              <w:rPr>
                <w:sz w:val="24"/>
                <w:szCs w:val="24"/>
              </w:rPr>
              <w:t>-20</w:t>
            </w:r>
            <w:r>
              <w:rPr>
                <w:sz w:val="24"/>
                <w:szCs w:val="24"/>
              </w:rPr>
              <w:t>%</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C34F82" w:rsidRPr="00AE7775" w:rsidRDefault="00C34F82" w:rsidP="00AE7101">
            <w:r w:rsidRPr="00C34F82">
              <w:rPr>
                <w:i/>
                <w:color w:val="FF0000"/>
                <w:sz w:val="24"/>
                <w:szCs w:val="24"/>
                <w:u w:val="single"/>
              </w:rPr>
              <w:t>Rationale:</w:t>
            </w:r>
            <w:r w:rsidRPr="00C34F82">
              <w:rPr>
                <w:color w:val="FF0000"/>
                <w:sz w:val="24"/>
                <w:szCs w:val="24"/>
                <w:u w:val="single"/>
              </w:rPr>
              <w:t xml:space="preserve"> </w:t>
            </w:r>
            <w:r w:rsidRPr="00C34F82">
              <w:rPr>
                <w:color w:val="FF0000"/>
                <w:sz w:val="24"/>
                <w:szCs w:val="24"/>
              </w:rPr>
              <w:t>Some students will be able to successfully pass the course (given the many grading components) but not meet proficiency in this particular dimension.</w:t>
            </w:r>
          </w:p>
        </w:tc>
      </w:tr>
    </w:tbl>
    <w:p w:rsidR="005F45CD" w:rsidRDefault="005F45CD"/>
    <w:sectPr w:rsidR="005F45CD" w:rsidSect="009B7A3E">
      <w:headerReference w:type="default" r:id="rId8"/>
      <w:footerReference w:type="default" r:id="rId9"/>
      <w:pgSz w:w="12240" w:h="15840"/>
      <w:pgMar w:top="110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56" w:rsidRDefault="008C7256" w:rsidP="00997CF2">
      <w:pPr>
        <w:spacing w:after="0" w:line="240" w:lineRule="auto"/>
      </w:pPr>
      <w:r>
        <w:separator/>
      </w:r>
    </w:p>
  </w:endnote>
  <w:endnote w:type="continuationSeparator" w:id="0">
    <w:p w:rsidR="008C7256" w:rsidRDefault="008C725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59131"/>
      <w:docPartObj>
        <w:docPartGallery w:val="Page Numbers (Bottom of Page)"/>
        <w:docPartUnique/>
      </w:docPartObj>
    </w:sdtPr>
    <w:sdtEndPr>
      <w:rPr>
        <w:noProof/>
      </w:rPr>
    </w:sdtEndPr>
    <w:sdtContent>
      <w:p w:rsidR="003A46CC" w:rsidRDefault="003A46CC">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3A46CC" w:rsidRDefault="003A46CC">
        <w:pPr>
          <w:pStyle w:val="Footer"/>
          <w:jc w:val="center"/>
        </w:pPr>
        <w:r>
          <w:fldChar w:fldCharType="begin"/>
        </w:r>
        <w:r>
          <w:instrText xml:space="preserve"> PAGE    \* MERGEFORMAT </w:instrText>
        </w:r>
        <w:r>
          <w:fldChar w:fldCharType="separate"/>
        </w:r>
        <w:r w:rsidR="006A4B79">
          <w:rPr>
            <w:noProof/>
          </w:rPr>
          <w:t>1</w:t>
        </w:r>
        <w:r>
          <w:rPr>
            <w:noProof/>
          </w:rPr>
          <w:fldChar w:fldCharType="end"/>
        </w:r>
      </w:p>
    </w:sdtContent>
  </w:sdt>
  <w:p w:rsidR="003A46CC" w:rsidRDefault="003A46CC">
    <w:pPr>
      <w:pStyle w:val="Footer"/>
    </w:pPr>
  </w:p>
  <w:p w:rsidR="00887BAF" w:rsidRDefault="00887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56" w:rsidRDefault="008C7256" w:rsidP="00997CF2">
      <w:pPr>
        <w:spacing w:after="0" w:line="240" w:lineRule="auto"/>
      </w:pPr>
      <w:r>
        <w:separator/>
      </w:r>
    </w:p>
  </w:footnote>
  <w:footnote w:type="continuationSeparator" w:id="0">
    <w:p w:rsidR="008C7256" w:rsidRDefault="008C725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CC" w:rsidRDefault="008C7256">
    <w:pPr>
      <w:pStyle w:val="Header"/>
      <w:tabs>
        <w:tab w:val="clear" w:pos="4680"/>
        <w:tab w:val="clear" w:pos="9360"/>
      </w:tabs>
      <w:jc w:val="right"/>
      <w:rPr>
        <w:color w:val="5B9BD5" w:themeColor="accent1"/>
      </w:rPr>
    </w:pPr>
    <w:sdt>
      <w:sdtPr>
        <w:rPr>
          <w:color w:val="5B9BD5" w:themeColor="accent1"/>
        </w:rPr>
        <w:alias w:val="Title"/>
        <w:tag w:val=""/>
        <w:id w:val="-780413077"/>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3A46CC">
          <w:rPr>
            <w:color w:val="5B9BD5" w:themeColor="accent1"/>
          </w:rPr>
          <w:t>GEC approval date</w:t>
        </w:r>
      </w:sdtContent>
    </w:sdt>
    <w:r w:rsidR="003A46CC">
      <w:rPr>
        <w:color w:val="5B9BD5" w:themeColor="accent1"/>
      </w:rPr>
      <w:t xml:space="preserve"> | </w:t>
    </w:r>
    <w:sdt>
      <w:sdtPr>
        <w:rPr>
          <w:color w:val="5B9BD5" w:themeColor="accent1"/>
        </w:rPr>
        <w:alias w:val="Author"/>
        <w:tag w:val=""/>
        <w:id w:val="-1983841854"/>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3A46CC">
          <w:rPr>
            <w:color w:val="5B9BD5" w:themeColor="accent1"/>
          </w:rPr>
          <w:t>8/28/14</w:t>
        </w:r>
      </w:sdtContent>
    </w:sdt>
  </w:p>
  <w:p w:rsidR="003A46CC" w:rsidRDefault="003A46CC">
    <w:pPr>
      <w:pStyle w:val="Header"/>
    </w:pPr>
  </w:p>
  <w:p w:rsidR="00887BAF" w:rsidRDefault="00887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ED6"/>
    <w:multiLevelType w:val="multilevel"/>
    <w:tmpl w:val="8D3CA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5D7586"/>
    <w:multiLevelType w:val="multilevel"/>
    <w:tmpl w:val="ADDE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BD03FF8"/>
    <w:multiLevelType w:val="hybridMultilevel"/>
    <w:tmpl w:val="94D892A2"/>
    <w:lvl w:ilvl="0" w:tplc="715097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16A9"/>
    <w:rsid w:val="00071D3F"/>
    <w:rsid w:val="00094E06"/>
    <w:rsid w:val="000D37A8"/>
    <w:rsid w:val="00147F10"/>
    <w:rsid w:val="00157C07"/>
    <w:rsid w:val="001957D4"/>
    <w:rsid w:val="001C5075"/>
    <w:rsid w:val="002244BE"/>
    <w:rsid w:val="002349A4"/>
    <w:rsid w:val="00243B32"/>
    <w:rsid w:val="0029669B"/>
    <w:rsid w:val="002C7542"/>
    <w:rsid w:val="003207C5"/>
    <w:rsid w:val="00325086"/>
    <w:rsid w:val="003A46CC"/>
    <w:rsid w:val="003C2429"/>
    <w:rsid w:val="003C5C27"/>
    <w:rsid w:val="003E2B12"/>
    <w:rsid w:val="00432BAE"/>
    <w:rsid w:val="00445772"/>
    <w:rsid w:val="004936B1"/>
    <w:rsid w:val="00493DB3"/>
    <w:rsid w:val="004B001A"/>
    <w:rsid w:val="004C052F"/>
    <w:rsid w:val="004F3A39"/>
    <w:rsid w:val="0051283D"/>
    <w:rsid w:val="00531A8E"/>
    <w:rsid w:val="00553C4F"/>
    <w:rsid w:val="00560388"/>
    <w:rsid w:val="00566972"/>
    <w:rsid w:val="005A4C62"/>
    <w:rsid w:val="005B199C"/>
    <w:rsid w:val="005B2CA6"/>
    <w:rsid w:val="005C30F3"/>
    <w:rsid w:val="005E2FC8"/>
    <w:rsid w:val="005F45CD"/>
    <w:rsid w:val="00613066"/>
    <w:rsid w:val="0062041C"/>
    <w:rsid w:val="00635FE6"/>
    <w:rsid w:val="0068640A"/>
    <w:rsid w:val="006A4B79"/>
    <w:rsid w:val="006B69D7"/>
    <w:rsid w:val="006D66BF"/>
    <w:rsid w:val="006E4AE9"/>
    <w:rsid w:val="00713756"/>
    <w:rsid w:val="007278D0"/>
    <w:rsid w:val="00745B15"/>
    <w:rsid w:val="00751263"/>
    <w:rsid w:val="00753348"/>
    <w:rsid w:val="00765EAC"/>
    <w:rsid w:val="00780666"/>
    <w:rsid w:val="007974F8"/>
    <w:rsid w:val="007A65D6"/>
    <w:rsid w:val="007B3337"/>
    <w:rsid w:val="007C3C33"/>
    <w:rsid w:val="007C7896"/>
    <w:rsid w:val="00831A75"/>
    <w:rsid w:val="00887BAF"/>
    <w:rsid w:val="00891234"/>
    <w:rsid w:val="00893A27"/>
    <w:rsid w:val="008B3AA7"/>
    <w:rsid w:val="008C1654"/>
    <w:rsid w:val="008C357A"/>
    <w:rsid w:val="008C5573"/>
    <w:rsid w:val="008C7256"/>
    <w:rsid w:val="00901A5C"/>
    <w:rsid w:val="00940E26"/>
    <w:rsid w:val="00946347"/>
    <w:rsid w:val="00956411"/>
    <w:rsid w:val="00997CF2"/>
    <w:rsid w:val="009B70EA"/>
    <w:rsid w:val="009B7A3E"/>
    <w:rsid w:val="00A14CB0"/>
    <w:rsid w:val="00A20B25"/>
    <w:rsid w:val="00A7492E"/>
    <w:rsid w:val="00AB5B8E"/>
    <w:rsid w:val="00AE6CEB"/>
    <w:rsid w:val="00AE7101"/>
    <w:rsid w:val="00AE7775"/>
    <w:rsid w:val="00B514D5"/>
    <w:rsid w:val="00B81179"/>
    <w:rsid w:val="00B85965"/>
    <w:rsid w:val="00BB5813"/>
    <w:rsid w:val="00BD5CE3"/>
    <w:rsid w:val="00BF0B38"/>
    <w:rsid w:val="00C26815"/>
    <w:rsid w:val="00C34F82"/>
    <w:rsid w:val="00C9733A"/>
    <w:rsid w:val="00D415B8"/>
    <w:rsid w:val="00D951C1"/>
    <w:rsid w:val="00DC5CCB"/>
    <w:rsid w:val="00DD35B6"/>
    <w:rsid w:val="00DD70C2"/>
    <w:rsid w:val="00DE239C"/>
    <w:rsid w:val="00DF695E"/>
    <w:rsid w:val="00E16B78"/>
    <w:rsid w:val="00EA3A1F"/>
    <w:rsid w:val="00EF2633"/>
    <w:rsid w:val="00F02F28"/>
    <w:rsid w:val="00F05048"/>
    <w:rsid w:val="00F05164"/>
    <w:rsid w:val="00F5127F"/>
    <w:rsid w:val="00F6033A"/>
    <w:rsid w:val="00F97001"/>
    <w:rsid w:val="00FA7323"/>
    <w:rsid w:val="00FC20E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1C"/>
  </w:style>
  <w:style w:type="paragraph" w:styleId="Heading1">
    <w:name w:val="heading 1"/>
    <w:basedOn w:val="Normal"/>
    <w:next w:val="Normal"/>
    <w:link w:val="Heading1Char"/>
    <w:uiPriority w:val="9"/>
    <w:qFormat/>
    <w:rsid w:val="005F45C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71D3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71D3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71D3F"/>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71D3F"/>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071D3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71D3F"/>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71D3F"/>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71D3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FA7323"/>
    <w:pPr>
      <w:ind w:left="720"/>
      <w:contextualSpacing/>
    </w:pPr>
  </w:style>
  <w:style w:type="character" w:styleId="Hyperlink">
    <w:name w:val="Hyperlink"/>
    <w:basedOn w:val="DefaultParagraphFont"/>
    <w:uiPriority w:val="99"/>
    <w:unhideWhenUsed/>
    <w:rsid w:val="00560388"/>
    <w:rPr>
      <w:color w:val="0563C1" w:themeColor="hyperlink"/>
      <w:u w:val="single"/>
    </w:rPr>
  </w:style>
  <w:style w:type="character" w:customStyle="1" w:styleId="Heading1Char">
    <w:name w:val="Heading 1 Char"/>
    <w:basedOn w:val="DefaultParagraphFont"/>
    <w:link w:val="Heading1"/>
    <w:uiPriority w:val="9"/>
    <w:rsid w:val="005F45CD"/>
    <w:rPr>
      <w:rFonts w:ascii="Times New Roman" w:eastAsia="Times New Roman" w:hAnsi="Times New Roman" w:cs="Times New Roman"/>
      <w:b/>
      <w:bCs/>
      <w:sz w:val="24"/>
      <w:szCs w:val="24"/>
    </w:rPr>
  </w:style>
  <w:style w:type="paragraph" w:styleId="TOAHeading">
    <w:name w:val="toa heading"/>
    <w:basedOn w:val="Normal"/>
    <w:next w:val="Normal"/>
    <w:rsid w:val="005F45CD"/>
    <w:pPr>
      <w:tabs>
        <w:tab w:val="left" w:pos="9000"/>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styleId="Emphasis">
    <w:name w:val="Emphasis"/>
    <w:uiPriority w:val="20"/>
    <w:qFormat/>
    <w:rsid w:val="005F45CD"/>
    <w:rPr>
      <w:i/>
      <w:iCs/>
    </w:rPr>
  </w:style>
  <w:style w:type="paragraph" w:customStyle="1" w:styleId="TableParagraph">
    <w:name w:val="Table Paragraph"/>
    <w:basedOn w:val="Normal"/>
    <w:uiPriority w:val="1"/>
    <w:qFormat/>
    <w:rsid w:val="00071D3F"/>
    <w:pPr>
      <w:widowControl w:val="0"/>
      <w:spacing w:after="0" w:line="240" w:lineRule="auto"/>
    </w:pPr>
  </w:style>
  <w:style w:type="character" w:customStyle="1" w:styleId="Heading2Char">
    <w:name w:val="Heading 2 Char"/>
    <w:basedOn w:val="DefaultParagraphFont"/>
    <w:link w:val="Heading2"/>
    <w:uiPriority w:val="9"/>
    <w:semiHidden/>
    <w:rsid w:val="00071D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1D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1D3F"/>
    <w:rPr>
      <w:rFonts w:eastAsiaTheme="minorEastAsia"/>
      <w:b/>
      <w:bCs/>
      <w:sz w:val="28"/>
      <w:szCs w:val="28"/>
    </w:rPr>
  </w:style>
  <w:style w:type="character" w:customStyle="1" w:styleId="Heading5Char">
    <w:name w:val="Heading 5 Char"/>
    <w:basedOn w:val="DefaultParagraphFont"/>
    <w:link w:val="Heading5"/>
    <w:uiPriority w:val="9"/>
    <w:semiHidden/>
    <w:rsid w:val="00071D3F"/>
    <w:rPr>
      <w:rFonts w:eastAsiaTheme="minorEastAsia"/>
      <w:b/>
      <w:bCs/>
      <w:i/>
      <w:iCs/>
      <w:sz w:val="26"/>
      <w:szCs w:val="26"/>
    </w:rPr>
  </w:style>
  <w:style w:type="character" w:customStyle="1" w:styleId="Heading6Char">
    <w:name w:val="Heading 6 Char"/>
    <w:basedOn w:val="DefaultParagraphFont"/>
    <w:link w:val="Heading6"/>
    <w:rsid w:val="00071D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71D3F"/>
    <w:rPr>
      <w:rFonts w:eastAsiaTheme="minorEastAsia"/>
      <w:sz w:val="24"/>
      <w:szCs w:val="24"/>
    </w:rPr>
  </w:style>
  <w:style w:type="character" w:customStyle="1" w:styleId="Heading8Char">
    <w:name w:val="Heading 8 Char"/>
    <w:basedOn w:val="DefaultParagraphFont"/>
    <w:link w:val="Heading8"/>
    <w:uiPriority w:val="9"/>
    <w:semiHidden/>
    <w:rsid w:val="00071D3F"/>
    <w:rPr>
      <w:rFonts w:eastAsiaTheme="minorEastAsia"/>
      <w:i/>
      <w:iCs/>
      <w:sz w:val="24"/>
      <w:szCs w:val="24"/>
    </w:rPr>
  </w:style>
  <w:style w:type="character" w:customStyle="1" w:styleId="Heading9Char">
    <w:name w:val="Heading 9 Char"/>
    <w:basedOn w:val="DefaultParagraphFont"/>
    <w:link w:val="Heading9"/>
    <w:uiPriority w:val="9"/>
    <w:semiHidden/>
    <w:rsid w:val="00071D3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5B9BD5"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4"/>
    <w:rsid w:val="00096B49"/>
    <w:rsid w:val="00100319"/>
    <w:rsid w:val="00255D53"/>
    <w:rsid w:val="003574F4"/>
    <w:rsid w:val="00383FF5"/>
    <w:rsid w:val="004328DC"/>
    <w:rsid w:val="0055181A"/>
    <w:rsid w:val="00593172"/>
    <w:rsid w:val="00623E64"/>
    <w:rsid w:val="006C669E"/>
    <w:rsid w:val="00740CF9"/>
    <w:rsid w:val="00825120"/>
    <w:rsid w:val="00982CD4"/>
    <w:rsid w:val="009910FD"/>
    <w:rsid w:val="00BA5B36"/>
    <w:rsid w:val="00D2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2015-04-30T13:09:00Z</dcterms:created>
  <dcterms:modified xsi:type="dcterms:W3CDTF">2015-04-30T13:09:00Z</dcterms:modified>
</cp:coreProperties>
</file>